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Theme="minorEastAsia" w:hAnsiTheme="minorEastAsia" w:eastAsiaTheme="minorEastAsia" w:cstheme="minorEastAsia"/>
          <w:bCs/>
          <w:sz w:val="36"/>
          <w:szCs w:val="36"/>
        </w:rPr>
      </w:pPr>
      <w:r>
        <w:rPr>
          <w:rFonts w:hint="eastAsia" w:asciiTheme="minorEastAsia" w:hAnsiTheme="minorEastAsia" w:eastAsiaTheme="minorEastAsia" w:cstheme="minorEastAsia"/>
          <w:b/>
          <w:bCs w:val="0"/>
          <w:sz w:val="32"/>
          <w:szCs w:val="32"/>
          <w:lang w:val="en-US" w:eastAsia="zh-CN"/>
        </w:rPr>
        <w:t>资产受让须知与承诺</w:t>
      </w:r>
    </w:p>
    <w:p>
      <w:pPr>
        <w:keepNext w:val="0"/>
        <w:keepLines w:val="0"/>
        <w:pageBreakBefore w:val="0"/>
        <w:kinsoku/>
        <w:wordWrap/>
        <w:overflowPunct/>
        <w:topLinePunct w:val="0"/>
        <w:autoSpaceDE/>
        <w:autoSpaceDN/>
        <w:bidi w:val="0"/>
        <w:adjustRightInd w:val="0"/>
        <w:snapToGrid w:val="0"/>
        <w:spacing w:line="460" w:lineRule="atLeast"/>
        <w:ind w:right="-199" w:rightChars="-95" w:firstLine="482" w:firstLineChars="200"/>
        <w:textAlignment w:val="auto"/>
        <w:rPr>
          <w:rFonts w:hint="eastAsia" w:asciiTheme="minorEastAsia" w:hAnsiTheme="minorEastAsia" w:eastAsiaTheme="minorEastAsia" w:cstheme="minorEastAsia"/>
          <w:b/>
          <w:kern w:val="0"/>
          <w:sz w:val="24"/>
          <w:szCs w:val="24"/>
        </w:rPr>
      </w:pPr>
      <w:r>
        <w:rPr>
          <w:rFonts w:hint="eastAsia" w:asciiTheme="minorEastAsia" w:hAnsiTheme="minorEastAsia" w:eastAsiaTheme="minorEastAsia" w:cstheme="minorEastAsia"/>
          <w:b/>
          <w:kern w:val="0"/>
          <w:sz w:val="24"/>
          <w:szCs w:val="24"/>
        </w:rPr>
        <w:t>特别提示：该《资产受让须知与承诺》仅适用于交易方式为网络竞价或动态报价的资产转让项目。如本项目转让方或挂牌公告对以下条款有不同约定的，从其约定。一旦报名，即表明已阅读并接受以下全部条款。</w:t>
      </w:r>
    </w:p>
    <w:p>
      <w:pPr>
        <w:keepNext w:val="0"/>
        <w:keepLines w:val="0"/>
        <w:pageBreakBefore w:val="0"/>
        <w:kinsoku/>
        <w:wordWrap/>
        <w:overflowPunct/>
        <w:topLinePunct w:val="0"/>
        <w:autoSpaceDE/>
        <w:autoSpaceDN/>
        <w:bidi w:val="0"/>
        <w:adjustRightInd w:val="0"/>
        <w:snapToGrid w:val="0"/>
        <w:spacing w:line="460" w:lineRule="atLeast"/>
        <w:ind w:right="-199" w:rightChars="-95" w:firstLine="480" w:firstLineChars="200"/>
        <w:textAlignment w:val="auto"/>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rPr>
        <w:t>项目编号：</w:t>
      </w:r>
      <w:r>
        <w:rPr>
          <w:rFonts w:hint="eastAsia" w:asciiTheme="minorEastAsia" w:hAnsiTheme="minorEastAsia" w:eastAsiaTheme="minorEastAsia" w:cstheme="minorEastAsia"/>
          <w:sz w:val="24"/>
          <w:szCs w:val="24"/>
          <w:u w:val="single"/>
        </w:rPr>
        <w:t>SWZC2</w:t>
      </w:r>
      <w:r>
        <w:rPr>
          <w:rFonts w:hint="eastAsia" w:asciiTheme="minorEastAsia" w:hAnsiTheme="minorEastAsia" w:eastAsiaTheme="minorEastAsia" w:cstheme="minorEastAsia"/>
          <w:sz w:val="24"/>
          <w:szCs w:val="24"/>
          <w:u w:val="single"/>
          <w:lang w:val="en-US" w:eastAsia="zh-CN"/>
        </w:rPr>
        <w:t>60</w:t>
      </w:r>
      <w:r>
        <w:rPr>
          <w:rFonts w:hint="eastAsia" w:asciiTheme="minorEastAsia" w:hAnsiTheme="minorEastAsia" w:cstheme="minorEastAsia"/>
          <w:sz w:val="24"/>
          <w:szCs w:val="24"/>
          <w:u w:val="single"/>
          <w:lang w:val="en-US" w:eastAsia="zh-CN"/>
        </w:rPr>
        <w:t>70</w:t>
      </w:r>
    </w:p>
    <w:p>
      <w:pPr>
        <w:keepNext w:val="0"/>
        <w:keepLines w:val="0"/>
        <w:pageBreakBefore w:val="0"/>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u w:val="single"/>
          <w:lang w:val="en-US" w:eastAsia="zh-CN"/>
        </w:rPr>
      </w:pPr>
      <w:r>
        <w:rPr>
          <w:rFonts w:hint="eastAsia" w:asciiTheme="minorEastAsia" w:hAnsiTheme="minorEastAsia" w:eastAsiaTheme="minorEastAsia" w:cstheme="minorEastAsia"/>
          <w:sz w:val="24"/>
          <w:szCs w:val="24"/>
          <w:lang w:eastAsia="zh-CN"/>
        </w:rPr>
        <w:t>项目名称：</w:t>
      </w:r>
      <w:r>
        <w:rPr>
          <w:rFonts w:hint="eastAsia" w:asciiTheme="minorEastAsia" w:hAnsiTheme="minorEastAsia" w:eastAsiaTheme="minorEastAsia" w:cstheme="minorEastAsia"/>
          <w:sz w:val="24"/>
          <w:szCs w:val="24"/>
          <w:u w:val="single"/>
          <w:lang w:eastAsia="zh-CN"/>
        </w:rPr>
        <w:t>烟台奥卡新世纪电影城有限责任公司阳光壹佰分公司所属报废空调、银幕、座椅等资产包</w:t>
      </w:r>
      <w:r>
        <w:rPr>
          <w:rFonts w:hint="eastAsia" w:asciiTheme="minorEastAsia" w:hAnsiTheme="minorEastAsia" w:eastAsiaTheme="minorEastAsia" w:cstheme="minorEastAsia"/>
          <w:sz w:val="24"/>
          <w:szCs w:val="24"/>
          <w:u w:val="single"/>
          <w:lang w:val="en-US" w:eastAsia="zh-CN"/>
        </w:rPr>
        <w:t xml:space="preserve"> </w:t>
      </w:r>
    </w:p>
    <w:p>
      <w:pPr>
        <w:keepNext w:val="0"/>
        <w:keepLines w:val="0"/>
        <w:pageBreakBefore w:val="0"/>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一、本项目《资产受让须知与承诺》（以下简称“《须知》”）依据《山东文化产权交易所文化企业国有资产转让业务操作</w:t>
      </w:r>
      <w:bookmarkStart w:id="0" w:name="_GoBack"/>
      <w:bookmarkEnd w:id="0"/>
      <w:r>
        <w:rPr>
          <w:rFonts w:hint="eastAsia" w:asciiTheme="minorEastAsia" w:hAnsiTheme="minorEastAsia" w:eastAsiaTheme="minorEastAsia" w:cstheme="minorEastAsia"/>
          <w:sz w:val="24"/>
          <w:szCs w:val="24"/>
        </w:rPr>
        <w:t>规则》</w:t>
      </w:r>
      <w:r>
        <w:rPr>
          <w:rFonts w:hint="eastAsia" w:asciiTheme="minorEastAsia" w:hAnsiTheme="minorEastAsia" w:eastAsiaTheme="minorEastAsia" w:cstheme="minorEastAsia"/>
          <w:kern w:val="0"/>
          <w:sz w:val="24"/>
          <w:szCs w:val="24"/>
        </w:rPr>
        <w:t>制定</w:t>
      </w:r>
      <w:r>
        <w:rPr>
          <w:rFonts w:hint="eastAsia" w:asciiTheme="minorEastAsia" w:hAnsiTheme="minorEastAsia" w:eastAsiaTheme="minorEastAsia" w:cstheme="minorEastAsia"/>
          <w:sz w:val="24"/>
          <w:szCs w:val="24"/>
        </w:rPr>
        <w:t>。适用于交易方式为网络竞价或动态报价的资产转让项目。</w:t>
      </w:r>
    </w:p>
    <w:p>
      <w:pPr>
        <w:keepNext w:val="0"/>
        <w:keepLines w:val="0"/>
        <w:pageBreakBefore w:val="0"/>
        <w:widowControl/>
        <w:kinsoku/>
        <w:wordWrap/>
        <w:overflowPunct/>
        <w:topLinePunct w:val="0"/>
        <w:autoSpaceDE/>
        <w:autoSpaceDN/>
        <w:bidi w:val="0"/>
        <w:spacing w:line="460" w:lineRule="atLeast"/>
        <w:ind w:right="-199" w:rightChars="-95" w:firstLine="470" w:firstLineChars="196"/>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二、本项目通过转让公告（以下所指公告均以文交所网站www.sdcaee.com披露内容为准）披露的交易方式确定受让方，本次网络竞价活动（含动态报价）由山东文化产权交易所</w:t>
      </w:r>
      <w:r>
        <w:rPr>
          <w:rFonts w:hint="eastAsia" w:asciiTheme="minorEastAsia" w:hAnsiTheme="minorEastAsia" w:cstheme="minorEastAsia"/>
          <w:kern w:val="0"/>
          <w:sz w:val="24"/>
          <w:szCs w:val="24"/>
          <w:lang w:eastAsia="zh-CN"/>
        </w:rPr>
        <w:t>有限公司</w:t>
      </w:r>
      <w:r>
        <w:rPr>
          <w:rFonts w:hint="eastAsia" w:asciiTheme="minorEastAsia" w:hAnsiTheme="minorEastAsia" w:eastAsiaTheme="minorEastAsia" w:cstheme="minorEastAsia"/>
          <w:kern w:val="0"/>
          <w:sz w:val="24"/>
          <w:szCs w:val="24"/>
        </w:rPr>
        <w:t>（以下简称“交易所”）组织实施。</w:t>
      </w:r>
    </w:p>
    <w:p>
      <w:pPr>
        <w:keepNext w:val="0"/>
        <w:keepLines w:val="0"/>
        <w:pageBreakBefore w:val="0"/>
        <w:widowControl/>
        <w:kinsoku/>
        <w:wordWrap/>
        <w:overflowPunct/>
        <w:topLinePunct w:val="0"/>
        <w:autoSpaceDE/>
        <w:autoSpaceDN/>
        <w:bidi w:val="0"/>
        <w:spacing w:line="460" w:lineRule="atLeast"/>
        <w:ind w:right="-199" w:rightChars="-95" w:firstLine="470" w:firstLineChars="196"/>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信息披露公告期满后，只产生一个符合条件的意向受让方的，除涉及优先购买权人未放弃优先购买权的情形外，交易双方按照转让底价与意向受让方报价孰高原则确定交易价格，签订资产交易合同或其他成交确认文件。</w:t>
      </w:r>
    </w:p>
    <w:p>
      <w:pPr>
        <w:keepNext w:val="0"/>
        <w:keepLines w:val="0"/>
        <w:pageBreakBefore w:val="0"/>
        <w:widowControl/>
        <w:kinsoku/>
        <w:wordWrap/>
        <w:overflowPunct/>
        <w:topLinePunct w:val="0"/>
        <w:autoSpaceDE/>
        <w:autoSpaceDN/>
        <w:bidi w:val="0"/>
        <w:spacing w:line="460" w:lineRule="atLeast"/>
        <w:ind w:right="-199" w:rightChars="-95" w:firstLine="470" w:firstLineChars="196"/>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信息披露公告期满，产生两个及以上符合条件的意向受让方的，</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按照公告确定的竞价方式组织实施竞价。</w:t>
      </w:r>
    </w:p>
    <w:p>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三、参加本项目网络竞价（含动态报价）的竞买人（已交纳本项目保证金并经审核通过的意向受让方），应已了解并遵守</w:t>
      </w:r>
      <w:r>
        <w:rPr>
          <w:rFonts w:hint="eastAsia" w:ascii="宋体" w:hAnsi="宋体" w:cs="宋体"/>
          <w:kern w:val="0"/>
          <w:sz w:val="24"/>
        </w:rPr>
        <w:t>《</w:t>
      </w:r>
      <w:r>
        <w:rPr>
          <w:rFonts w:hint="eastAsia" w:ascii="宋体" w:hAnsi="宋体" w:cs="宋体"/>
          <w:sz w:val="24"/>
        </w:rPr>
        <w:t>山东文化产权交易所文化企业国有资产转让业务操作规则</w:t>
      </w:r>
      <w:r>
        <w:rPr>
          <w:rFonts w:hint="eastAsia" w:ascii="宋体" w:hAnsi="宋体" w:cs="宋体"/>
          <w:kern w:val="0"/>
          <w:sz w:val="24"/>
        </w:rPr>
        <w:t>》、《</w:t>
      </w:r>
      <w:r>
        <w:rPr>
          <w:rFonts w:hint="eastAsia" w:ascii="宋体" w:hAnsi="宋体" w:cs="宋体"/>
          <w:sz w:val="24"/>
        </w:rPr>
        <w:t>山东文化产权交易所交易保证金操作细则</w:t>
      </w:r>
      <w:r>
        <w:rPr>
          <w:rFonts w:hint="eastAsia" w:ascii="宋体" w:hAnsi="宋体" w:cs="宋体"/>
          <w:kern w:val="0"/>
          <w:sz w:val="24"/>
        </w:rPr>
        <w:t>》</w:t>
      </w:r>
      <w:r>
        <w:rPr>
          <w:rFonts w:hint="eastAsia" w:asciiTheme="minorEastAsia" w:hAnsiTheme="minorEastAsia" w:eastAsiaTheme="minorEastAsia" w:cstheme="minorEastAsia"/>
          <w:kern w:val="0"/>
          <w:sz w:val="24"/>
          <w:szCs w:val="24"/>
        </w:rPr>
        <w:t>的规定（详见</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网站“政策法规”栏目），认真阅读了本《须知》并承诺接受其全部内容，对网络竞价（含动态报价）的交易方式和规则已全面了解，接受</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采取网络竞价（含动态报价）方式组织本次交易，自愿参加本项目网络竞价（含动态报价）活动，规范竞买行为，履行竞买义务，按规定参与报价程序。</w:t>
      </w:r>
    </w:p>
    <w:p>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四、意向受让方应按公告要求的有效报名时间段内</w:t>
      </w:r>
      <w:r>
        <w:rPr>
          <w:rFonts w:hint="eastAsia" w:asciiTheme="minorEastAsia" w:hAnsiTheme="minorEastAsia" w:eastAsiaTheme="minorEastAsia" w:cstheme="minorEastAsia"/>
          <w:kern w:val="0"/>
          <w:sz w:val="24"/>
          <w:szCs w:val="24"/>
          <w:lang w:eastAsia="zh-CN"/>
        </w:rPr>
        <w:t>自行登录</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网站办理报名登记手续，并按照公告的提示提交报名材料，逾期未按规定提交报名材料的，视为放弃受让资格。</w:t>
      </w:r>
    </w:p>
    <w:p>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2"/>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五</w:t>
      </w:r>
      <w:r>
        <w:rPr>
          <w:rFonts w:hint="eastAsia" w:asciiTheme="minorEastAsia" w:hAnsiTheme="minorEastAsia" w:eastAsiaTheme="minorEastAsia" w:cstheme="minorEastAsia"/>
          <w:kern w:val="0"/>
          <w:sz w:val="24"/>
          <w:szCs w:val="24"/>
          <w:lang w:eastAsia="zh-CN"/>
        </w:rPr>
        <w:t>、</w:t>
      </w:r>
      <w:r>
        <w:rPr>
          <w:rFonts w:hint="eastAsia" w:asciiTheme="minorEastAsia" w:hAnsiTheme="minorEastAsia" w:eastAsiaTheme="minorEastAsia" w:cstheme="minorEastAsia"/>
          <w:kern w:val="0"/>
          <w:sz w:val="24"/>
          <w:szCs w:val="24"/>
        </w:rPr>
        <w:t>意向受让方应当按照信息披露公告要求，将交易保证金交纳至</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指定的交易资金结算专用账户，支付时间以到达</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指定账户时间为准。未按照信息披露公告要求交纳交易保证金的，视为放弃受让资格。本项目保证金金额详见</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网站公告，账户信息以交易系统推送的收款账号为准。保证金来源的合法性由交纳主体负责。交易资金原则上不得由他方代为收付。</w:t>
      </w:r>
    </w:p>
    <w:p>
      <w:pPr>
        <w:keepNext w:val="0"/>
        <w:keepLines w:val="0"/>
        <w:pageBreakBefore w:val="0"/>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六、竞买人应于网络竞价活动开始前，登录</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网站（www.sdcaee.com）了解并掌握相关操作规程；竞买人应对其竞买行为负责，网络竞价成交后不得以不了解网络竞价方式或不了解所竞得标的为由予以反悔。</w:t>
      </w:r>
    </w:p>
    <w:p>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rPr>
        <w:t>七、本项目标的信息详情见公告披露信息。</w:t>
      </w:r>
      <w:r>
        <w:rPr>
          <w:rFonts w:hint="eastAsia" w:asciiTheme="minorEastAsia" w:hAnsiTheme="minorEastAsia" w:cstheme="minorEastAsia"/>
          <w:sz w:val="24"/>
          <w:szCs w:val="24"/>
          <w:lang w:eastAsia="zh-CN"/>
        </w:rPr>
        <w:t>交易所</w:t>
      </w:r>
      <w:r>
        <w:rPr>
          <w:rFonts w:hint="eastAsia" w:asciiTheme="minorEastAsia" w:hAnsiTheme="minorEastAsia" w:eastAsiaTheme="minorEastAsia" w:cstheme="minorEastAsia"/>
          <w:sz w:val="24"/>
          <w:szCs w:val="24"/>
        </w:rPr>
        <w:t>按转让方要求进行标的图片、名称、文字描述及实物信息等内容发布，仅对转让方提供的披露信息内容进行合规性审核，不保证披露的交易标的相关信息的真实性、完整性和准确性，不保证披露的交易标的名称、图片、描述与交易标的实际相符，也不对交易标的做任何担保。</w:t>
      </w:r>
    </w:p>
    <w:p>
      <w:pPr>
        <w:keepNext w:val="0"/>
        <w:keepLines w:val="0"/>
        <w:pageBreakBefore w:val="0"/>
        <w:kinsoku/>
        <w:wordWrap/>
        <w:overflowPunct/>
        <w:topLinePunct w:val="0"/>
        <w:autoSpaceDE/>
        <w:autoSpaceDN/>
        <w:bidi w:val="0"/>
        <w:spacing w:line="460" w:lineRule="atLeas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八、意向受让方应自行了解、勘察（包括但不限于查阅由转让方提供的标的相关的档案文件）交易标的实物，并认可本项目转让公告及附件的全部内容。若意向受让方无法前往本项目预展地点进行现场勘察的，则须承诺认可交易标的现状，并自行承担包括但不限于因所获取的表达信息不全面、错误或误解等而产生的相应后果。意向受让方一旦提交报名，即视为其已完全了解标的物的相关情况，认可项目公告及附件的全部内容。对明示按交易标的现状进行交易的，意向受让方应自行勘察交易标的实物，提交交易申请、参与竞买即表明认可交易标的现状，意向受让方将自行承担可能由此产生的损失。</w:t>
      </w:r>
    </w:p>
    <w:p>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九、意向受让方应当符合公告要求，同意本项目公告中与转让相关的其他条件。如因不符合公告要求对转让方及</w:t>
      </w:r>
      <w:r>
        <w:rPr>
          <w:rFonts w:hint="eastAsia" w:asciiTheme="minorEastAsia" w:hAnsiTheme="minorEastAsia" w:cstheme="minorEastAsia"/>
          <w:sz w:val="24"/>
          <w:szCs w:val="24"/>
          <w:lang w:eastAsia="zh-CN"/>
        </w:rPr>
        <w:t>交易所</w:t>
      </w:r>
      <w:r>
        <w:rPr>
          <w:rFonts w:hint="eastAsia" w:asciiTheme="minorEastAsia" w:hAnsiTheme="minorEastAsia" w:eastAsiaTheme="minorEastAsia" w:cstheme="minorEastAsia"/>
          <w:sz w:val="24"/>
          <w:szCs w:val="24"/>
        </w:rPr>
        <w:t>造成损失的，须承担违约责任。</w:t>
      </w:r>
    </w:p>
    <w:p>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十、本项目公告截止日后，已完成报名手续的意向受让方，不得单方撤回报名。</w:t>
      </w:r>
    </w:p>
    <w:p>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十一、意向受让方须同意以不低于转让底价（即挂牌价格）购买在</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公开挂牌转让的</w:t>
      </w:r>
      <w:r>
        <w:rPr>
          <w:rFonts w:hint="eastAsia" w:asciiTheme="minorEastAsia" w:hAnsiTheme="minorEastAsia" w:eastAsiaTheme="minorEastAsia" w:cstheme="minorEastAsia"/>
          <w:kern w:val="0"/>
          <w:sz w:val="24"/>
          <w:szCs w:val="24"/>
          <w:u w:val="single"/>
        </w:rPr>
        <w:t>本</w:t>
      </w:r>
      <w:r>
        <w:rPr>
          <w:rFonts w:hint="eastAsia" w:asciiTheme="minorEastAsia" w:hAnsiTheme="minorEastAsia" w:eastAsiaTheme="minorEastAsia" w:cstheme="minorEastAsia"/>
          <w:kern w:val="0"/>
          <w:sz w:val="24"/>
          <w:szCs w:val="24"/>
        </w:rPr>
        <w:t>项目。</w:t>
      </w:r>
    </w:p>
    <w:p>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90"/>
        <w:jc w:val="left"/>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十二、竞价规则：</w:t>
      </w:r>
    </w:p>
    <w:p>
      <w:pPr>
        <w:keepNext w:val="0"/>
        <w:keepLines w:val="0"/>
        <w:pageBreakBefore w:val="0"/>
        <w:widowControl/>
        <w:kinsoku/>
        <w:wordWrap/>
        <w:overflowPunct/>
        <w:topLinePunct w:val="0"/>
        <w:autoSpaceDE/>
        <w:autoSpaceDN/>
        <w:bidi w:val="0"/>
        <w:adjustRightInd w:val="0"/>
        <w:snapToGrid w:val="0"/>
        <w:spacing w:line="460" w:lineRule="atLeast"/>
        <w:ind w:right="0" w:rightChars="0" w:firstLine="480" w:firstLineChars="200"/>
        <w:jc w:val="left"/>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sz w:val="24"/>
          <w:szCs w:val="24"/>
        </w:rPr>
        <w:t>1、</w:t>
      </w:r>
      <w:r>
        <w:rPr>
          <w:rFonts w:hint="eastAsia" w:asciiTheme="minorEastAsia" w:hAnsiTheme="minorEastAsia" w:eastAsiaTheme="minorEastAsia" w:cstheme="minorEastAsia"/>
          <w:kern w:val="0"/>
          <w:sz w:val="24"/>
          <w:szCs w:val="24"/>
        </w:rPr>
        <w:t>交易方式为网络竞价的，公告期满，只产生一个符合条件的意向受让方的，</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采取协议方式组织交易；产生两个及以上符合条件的意向受让方的，意向受让方须参与后续竞价程序。</w:t>
      </w:r>
    </w:p>
    <w:p>
      <w:pPr>
        <w:keepNext w:val="0"/>
        <w:keepLines w:val="0"/>
        <w:pageBreakBefore w:val="0"/>
        <w:kinsoku/>
        <w:wordWrap/>
        <w:overflowPunct/>
        <w:topLinePunct w:val="0"/>
        <w:autoSpaceDE/>
        <w:autoSpaceDN/>
        <w:bidi w:val="0"/>
        <w:adjustRightInd w:val="0"/>
        <w:snapToGrid w:val="0"/>
        <w:spacing w:line="460" w:lineRule="atLeast"/>
        <w:ind w:firstLine="480" w:firstLineChars="200"/>
        <w:jc w:val="left"/>
        <w:textAlignment w:val="auto"/>
        <w:rPr>
          <w:rFonts w:hint="eastAsia" w:asciiTheme="minorEastAsia" w:hAnsiTheme="minorEastAsia" w:eastAsiaTheme="minorEastAsia" w:cstheme="minorEastAsia"/>
          <w:b/>
          <w:bCs/>
          <w:kern w:val="0"/>
          <w:sz w:val="24"/>
          <w:szCs w:val="24"/>
        </w:rPr>
      </w:pPr>
      <w:r>
        <w:rPr>
          <w:rFonts w:hint="eastAsia" w:asciiTheme="minorEastAsia" w:hAnsiTheme="minorEastAsia" w:eastAsiaTheme="minorEastAsia" w:cstheme="minorEastAsia"/>
          <w:kern w:val="0"/>
          <w:sz w:val="24"/>
          <w:szCs w:val="24"/>
        </w:rPr>
        <w:t>竞价过程中以挂牌价格为起始价格，网络竞价开始时间及加价幅度另行通知。竞价过程由多个连续报价周期组成，每个报价周期为1.5分钟（即 90秒）。在每个报价周期内，如出现新的有效报价，则进入新的报价周期；在一个报价周期内如未出现新的有效报价，则当前有效报价方成为本次交易的受让方。</w:t>
      </w:r>
    </w:p>
    <w:p>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网络竞价加价规则：</w:t>
      </w:r>
    </w:p>
    <w:p>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除对挂牌价格应价外，各竞买人每次加价不得低于加价幅度。</w:t>
      </w:r>
    </w:p>
    <w:p>
      <w:pPr>
        <w:keepNext w:val="0"/>
        <w:keepLines w:val="0"/>
        <w:pageBreakBefore w:val="0"/>
        <w:numPr>
          <w:ilvl w:val="0"/>
          <w:numId w:val="1"/>
        </w:numPr>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交易方式为动态报价的，本次动态报价活动以挂牌价格为起始价格。</w:t>
      </w:r>
    </w:p>
    <w:p>
      <w:pPr>
        <w:keepNext w:val="0"/>
        <w:keepLines w:val="0"/>
        <w:pageBreakBefore w:val="0"/>
        <w:widowControl/>
        <w:numPr>
          <w:ilvl w:val="255"/>
          <w:numId w:val="0"/>
        </w:numPr>
        <w:kinsoku/>
        <w:wordWrap/>
        <w:overflowPunct/>
        <w:topLinePunct w:val="0"/>
        <w:autoSpaceDE/>
        <w:autoSpaceDN/>
        <w:bidi w:val="0"/>
        <w:adjustRightInd w:val="0"/>
        <w:snapToGrid w:val="0"/>
        <w:spacing w:line="460" w:lineRule="atLeast"/>
        <w:ind w:right="-199" w:rightChars="-95" w:firstLine="480"/>
        <w:jc w:val="left"/>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如信息公告期满，只产生一个意向受让方的，</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组织交易双方按照竞买人报价与转让底价孰高原则直接签订《资产交易合同》。</w:t>
      </w:r>
    </w:p>
    <w:p>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信息公告期满，产生两家及以上意向受让方的，意向受让方须在规定的报价时间内报价。</w:t>
      </w:r>
    </w:p>
    <w:p>
      <w:pPr>
        <w:keepNext w:val="0"/>
        <w:keepLines w:val="0"/>
        <w:pageBreakBefore w:val="0"/>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动态报价由定时报价期和连续报价期组成。</w:t>
      </w:r>
    </w:p>
    <w:p>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（1）</w:t>
      </w:r>
      <w:r>
        <w:rPr>
          <w:rFonts w:hint="eastAsia" w:asciiTheme="minorEastAsia" w:hAnsiTheme="minorEastAsia" w:eastAsiaTheme="minorEastAsia" w:cstheme="minorEastAsia"/>
          <w:sz w:val="24"/>
          <w:szCs w:val="24"/>
        </w:rPr>
        <w:t>定</w:t>
      </w:r>
      <w:r>
        <w:rPr>
          <w:rFonts w:hint="eastAsia" w:asciiTheme="minorEastAsia" w:hAnsiTheme="minorEastAsia" w:eastAsiaTheme="minorEastAsia" w:cstheme="minorEastAsia"/>
          <w:kern w:val="0"/>
          <w:sz w:val="24"/>
          <w:szCs w:val="24"/>
        </w:rPr>
        <w:t>时报价期起始时间详见网站披露信息。在此期间，竞买人可对转让标的进行报价，各竞买人的每次有效报价随即成为当前报价。</w:t>
      </w:r>
    </w:p>
    <w:p>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2）定时报价期结束后立即进入连续报价期。连续报价期可由多个连续报价周期组成，每个连续报价周期为1.5分钟（即90秒）。在每个连续报价周期内，如出现新的有效报价，则进入新的连续报价周期；在一个连续报价周期内如未出现新的有效报价，则当前有效报价方成为本次动态报价活动的受让方。</w:t>
      </w:r>
    </w:p>
    <w:p>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动态报价加价规则：</w:t>
      </w:r>
    </w:p>
    <w:p>
      <w:pPr>
        <w:keepNext w:val="0"/>
        <w:keepLines w:val="0"/>
        <w:pageBreakBefore w:val="0"/>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本次动态报价的加价幅度详见网站披露信息。除对转让底价应价外，各竞买人每次加价不得低于加价幅度。</w:t>
      </w:r>
    </w:p>
    <w:p>
      <w:pPr>
        <w:keepNext w:val="0"/>
        <w:keepLines w:val="0"/>
        <w:pageBreakBefore w:val="0"/>
        <w:numPr>
          <w:ilvl w:val="0"/>
          <w:numId w:val="1"/>
        </w:numPr>
        <w:kinsoku/>
        <w:wordWrap/>
        <w:overflowPunct/>
        <w:topLinePunct w:val="0"/>
        <w:autoSpaceDE/>
        <w:autoSpaceDN/>
        <w:bidi w:val="0"/>
        <w:spacing w:line="460" w:lineRule="atLeast"/>
        <w:ind w:right="-199" w:rightChars="-95" w:firstLine="482" w:firstLineChars="200"/>
        <w:textAlignment w:val="auto"/>
        <w:rPr>
          <w:rFonts w:hint="eastAsia" w:asciiTheme="minorEastAsia" w:hAnsiTheme="minorEastAsia" w:eastAsiaTheme="minorEastAsia" w:cstheme="minorEastAsia"/>
          <w:b/>
          <w:bCs/>
          <w:kern w:val="0"/>
          <w:sz w:val="24"/>
          <w:szCs w:val="24"/>
          <w:highlight w:val="none"/>
        </w:rPr>
      </w:pPr>
      <w:r>
        <w:rPr>
          <w:rFonts w:hint="eastAsia" w:asciiTheme="minorEastAsia" w:hAnsiTheme="minorEastAsia" w:eastAsiaTheme="minorEastAsia" w:cstheme="minorEastAsia"/>
          <w:b/>
          <w:bCs/>
          <w:sz w:val="24"/>
          <w:szCs w:val="24"/>
          <w:highlight w:val="none"/>
        </w:rPr>
        <w:t>项目存在优先购买权人的，</w:t>
      </w:r>
      <w:r>
        <w:rPr>
          <w:rFonts w:hint="eastAsia" w:asciiTheme="minorEastAsia" w:hAnsiTheme="minorEastAsia" w:eastAsiaTheme="minorEastAsia" w:cstheme="minorEastAsia"/>
          <w:b/>
          <w:bCs/>
          <w:kern w:val="0"/>
          <w:sz w:val="24"/>
          <w:szCs w:val="24"/>
          <w:highlight w:val="none"/>
        </w:rPr>
        <w:t>优先购买权行使方式</w:t>
      </w:r>
      <w:r>
        <w:rPr>
          <w:rFonts w:hint="eastAsia" w:asciiTheme="minorEastAsia" w:hAnsiTheme="minorEastAsia" w:eastAsiaTheme="minorEastAsia" w:cstheme="minorEastAsia"/>
          <w:b/>
          <w:bCs/>
          <w:color w:val="auto"/>
          <w:kern w:val="0"/>
          <w:sz w:val="24"/>
          <w:szCs w:val="24"/>
          <w:highlight w:val="none"/>
          <w:lang w:val="en-US" w:eastAsia="zh-CN"/>
        </w:rPr>
        <w:t>详见项目挂牌公告，具体</w:t>
      </w:r>
      <w:r>
        <w:rPr>
          <w:rFonts w:hint="eastAsia" w:asciiTheme="minorEastAsia" w:hAnsiTheme="minorEastAsia" w:eastAsiaTheme="minorEastAsia" w:cstheme="minorEastAsia"/>
          <w:b/>
          <w:bCs/>
          <w:kern w:val="0"/>
          <w:sz w:val="24"/>
          <w:szCs w:val="24"/>
          <w:highlight w:val="none"/>
          <w:lang w:val="en-US" w:eastAsia="zh-CN"/>
        </w:rPr>
        <w:t>参照</w:t>
      </w:r>
      <w:r>
        <w:rPr>
          <w:rFonts w:hint="eastAsia" w:asciiTheme="minorEastAsia" w:hAnsiTheme="minorEastAsia" w:eastAsiaTheme="minorEastAsia" w:cstheme="minorEastAsia"/>
          <w:b/>
          <w:bCs/>
          <w:kern w:val="0"/>
          <w:sz w:val="24"/>
          <w:szCs w:val="24"/>
          <w:highlight w:val="none"/>
        </w:rPr>
        <w:t>《企业国有产权交易优先购买权行使操作细则（试行）》</w:t>
      </w:r>
      <w:r>
        <w:rPr>
          <w:rFonts w:hint="eastAsia" w:asciiTheme="minorEastAsia" w:hAnsiTheme="minorEastAsia" w:eastAsiaTheme="minorEastAsia" w:cstheme="minorEastAsia"/>
          <w:b/>
          <w:bCs/>
          <w:color w:val="auto"/>
          <w:kern w:val="0"/>
          <w:sz w:val="24"/>
          <w:szCs w:val="24"/>
          <w:highlight w:val="none"/>
          <w:lang w:val="en-US" w:eastAsia="zh-CN"/>
        </w:rPr>
        <w:t>有关要求执行</w:t>
      </w:r>
      <w:r>
        <w:rPr>
          <w:rFonts w:hint="eastAsia" w:asciiTheme="minorEastAsia" w:hAnsiTheme="minorEastAsia" w:eastAsiaTheme="minorEastAsia" w:cstheme="minorEastAsia"/>
          <w:b/>
          <w:bCs/>
          <w:kern w:val="0"/>
          <w:sz w:val="24"/>
          <w:szCs w:val="24"/>
          <w:highlight w:val="none"/>
        </w:rPr>
        <w:t>。</w:t>
      </w:r>
    </w:p>
    <w:p>
      <w:pPr>
        <w:keepNext w:val="0"/>
        <w:keepLines w:val="0"/>
        <w:pageBreakBefore w:val="0"/>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十三、</w:t>
      </w:r>
      <w:r>
        <w:rPr>
          <w:rFonts w:hint="eastAsia" w:asciiTheme="minorEastAsia" w:hAnsiTheme="minorEastAsia" w:cstheme="minorEastAsia"/>
          <w:sz w:val="24"/>
          <w:szCs w:val="24"/>
          <w:lang w:eastAsia="zh-CN"/>
        </w:rPr>
        <w:t>交易所</w:t>
      </w:r>
      <w:r>
        <w:rPr>
          <w:rFonts w:hint="eastAsia" w:asciiTheme="minorEastAsia" w:hAnsiTheme="minorEastAsia" w:eastAsiaTheme="minorEastAsia" w:cstheme="minorEastAsia"/>
          <w:sz w:val="24"/>
          <w:szCs w:val="24"/>
        </w:rPr>
        <w:t>根据交易规则确定受让方后，向受让方出具《</w:t>
      </w:r>
      <w:r>
        <w:rPr>
          <w:rFonts w:hint="eastAsia" w:asciiTheme="minorEastAsia" w:hAnsiTheme="minorEastAsia" w:cstheme="minorEastAsia"/>
          <w:sz w:val="24"/>
          <w:szCs w:val="24"/>
          <w:lang w:eastAsia="zh-CN"/>
        </w:rPr>
        <w:t>挂牌</w:t>
      </w:r>
      <w:r>
        <w:rPr>
          <w:rFonts w:hint="eastAsia" w:asciiTheme="minorEastAsia" w:hAnsiTheme="minorEastAsia" w:eastAsiaTheme="minorEastAsia" w:cstheme="minorEastAsia"/>
          <w:sz w:val="24"/>
          <w:szCs w:val="24"/>
        </w:rPr>
        <w:t>结果通知单》。</w:t>
      </w:r>
    </w:p>
    <w:p>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1、国有资产转让项目。受让方在收到《</w:t>
      </w:r>
      <w:r>
        <w:rPr>
          <w:rFonts w:hint="eastAsia" w:asciiTheme="minorEastAsia" w:hAnsiTheme="minorEastAsia" w:cstheme="minorEastAsia"/>
          <w:sz w:val="24"/>
          <w:szCs w:val="24"/>
          <w:lang w:val="en-US" w:eastAsia="zh-CN"/>
        </w:rPr>
        <w:t>挂牌</w:t>
      </w:r>
      <w:r>
        <w:rPr>
          <w:rFonts w:hint="eastAsia" w:asciiTheme="minorEastAsia" w:hAnsiTheme="minorEastAsia" w:eastAsiaTheme="minorEastAsia" w:cstheme="minorEastAsia"/>
          <w:sz w:val="24"/>
          <w:szCs w:val="24"/>
          <w:lang w:val="en-US" w:eastAsia="zh-CN"/>
        </w:rPr>
        <w:t>结果通知单》后，应当按照信息披露公告的要求与转让方签署《资产交易合同》或其他成交确认文件，并在《资产交易合同》或其他成交确认文件生效之日起5个工作日内支付应付交易价款及交易费用至</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指定账户。收费标准如下：</w:t>
      </w:r>
    </w:p>
    <w:p>
      <w:pPr>
        <w:keepNext w:val="0"/>
        <w:keepLines w:val="0"/>
        <w:pageBreakBefore w:val="0"/>
        <w:widowControl/>
        <w:kinsoku/>
        <w:wordWrap/>
        <w:overflowPunct/>
        <w:topLinePunct w:val="0"/>
        <w:autoSpaceDE/>
        <w:autoSpaceDN/>
        <w:bidi w:val="0"/>
        <w:adjustRightInd w:val="0"/>
        <w:snapToGrid w:val="0"/>
        <w:spacing w:line="5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（1）协议成交</w:t>
      </w:r>
    </w:p>
    <w:tbl>
      <w:tblPr>
        <w:tblStyle w:val="7"/>
        <w:tblW w:w="7243" w:type="dxa"/>
        <w:tblInd w:w="6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572"/>
        <w:gridCol w:w="720"/>
        <w:gridCol w:w="2412"/>
        <w:gridCol w:w="1164"/>
        <w:gridCol w:w="13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3" w:hRule="atLeast"/>
        </w:trPr>
        <w:tc>
          <w:tcPr>
            <w:tcW w:w="1572" w:type="dxa"/>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kern w:val="2"/>
                <w:sz w:val="21"/>
                <w:szCs w:val="21"/>
                <w:lang w:val="en-US" w:eastAsia="zh-CN" w:bidi="ar-SA"/>
              </w:rPr>
              <w:t>收费项目</w:t>
            </w:r>
          </w:p>
        </w:tc>
        <w:tc>
          <w:tcPr>
            <w:tcW w:w="3132" w:type="dxa"/>
            <w:gridSpan w:val="2"/>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kern w:val="2"/>
                <w:sz w:val="21"/>
                <w:szCs w:val="21"/>
                <w:lang w:val="en-US" w:eastAsia="zh-CN" w:bidi="ar-SA"/>
              </w:rPr>
              <w:t>收费基数（万元）</w:t>
            </w:r>
          </w:p>
        </w:tc>
        <w:tc>
          <w:tcPr>
            <w:tcW w:w="1164" w:type="dxa"/>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费率</w:t>
            </w:r>
          </w:p>
        </w:tc>
        <w:tc>
          <w:tcPr>
            <w:tcW w:w="1375" w:type="dxa"/>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收费对象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07" w:hRule="atLeast"/>
        </w:trPr>
        <w:tc>
          <w:tcPr>
            <w:tcW w:w="1572" w:type="dxa"/>
            <w:vMerge w:val="restart"/>
            <w:vAlign w:val="center"/>
          </w:tcPr>
          <w:p>
            <w:pPr>
              <w:pStyle w:val="6"/>
              <w:keepNext w:val="0"/>
              <w:keepLines w:val="0"/>
              <w:pageBreakBefore w:val="0"/>
              <w:kinsoku/>
              <w:wordWrap/>
              <w:overflowPunct/>
              <w:topLinePunct w:val="0"/>
              <w:autoSpaceDE/>
              <w:autoSpaceDN/>
              <w:bidi w:val="0"/>
              <w:adjustRightInd/>
              <w:snapToGrid/>
              <w:spacing w:line="560" w:lineRule="atLeast"/>
              <w:ind w:firstLine="210" w:firstLineChars="100"/>
              <w:jc w:val="both"/>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基础服务费</w:t>
            </w:r>
          </w:p>
        </w:tc>
        <w:tc>
          <w:tcPr>
            <w:tcW w:w="720" w:type="dxa"/>
            <w:vMerge w:val="restart"/>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转让</w:t>
            </w:r>
          </w:p>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底价</w:t>
            </w:r>
          </w:p>
        </w:tc>
        <w:tc>
          <w:tcPr>
            <w:tcW w:w="2412" w:type="dxa"/>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10000以下（含）</w:t>
            </w:r>
          </w:p>
        </w:tc>
        <w:tc>
          <w:tcPr>
            <w:tcW w:w="1164" w:type="dxa"/>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0.1%</w:t>
            </w:r>
          </w:p>
        </w:tc>
        <w:tc>
          <w:tcPr>
            <w:tcW w:w="1375" w:type="dxa"/>
            <w:vMerge w:val="restart"/>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 xml:space="preserve">转让方及 </w:t>
            </w:r>
          </w:p>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受让方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57" w:hRule="atLeast"/>
        </w:trPr>
        <w:tc>
          <w:tcPr>
            <w:tcW w:w="1572" w:type="dxa"/>
            <w:vMerge w:val="continue"/>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20" w:type="dxa"/>
            <w:vMerge w:val="continue"/>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412" w:type="dxa"/>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10000-50000（含）</w:t>
            </w:r>
          </w:p>
        </w:tc>
        <w:tc>
          <w:tcPr>
            <w:tcW w:w="1164" w:type="dxa"/>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0.08%</w:t>
            </w:r>
          </w:p>
        </w:tc>
        <w:tc>
          <w:tcPr>
            <w:tcW w:w="1375" w:type="dxa"/>
            <w:vMerge w:val="continue"/>
            <w:vAlign w:val="top"/>
          </w:tcPr>
          <w:p>
            <w:pPr>
              <w:keepNext w:val="0"/>
              <w:keepLines w:val="0"/>
              <w:pageBreakBefore w:val="0"/>
              <w:kinsoku/>
              <w:wordWrap/>
              <w:overflowPunct/>
              <w:topLinePunct w:val="0"/>
              <w:autoSpaceDE/>
              <w:autoSpaceDN/>
              <w:bidi w:val="0"/>
              <w:adjustRightInd/>
              <w:snapToGrid/>
              <w:spacing w:before="174" w:line="560" w:lineRule="atLeast"/>
              <w:ind w:left="272"/>
              <w:textAlignment w:val="auto"/>
              <w:rPr>
                <w:rFonts w:hint="eastAsia" w:asciiTheme="minorEastAsia" w:hAnsiTheme="minorEastAsia" w:eastAsiaTheme="minorEastAsia" w:cstheme="minorEastAsia"/>
                <w:i w:val="0"/>
                <w:iCs w:val="0"/>
                <w:caps w:val="0"/>
                <w:color w:val="000000"/>
                <w:spacing w:val="0"/>
                <w:kern w:val="0"/>
                <w:sz w:val="32"/>
                <w:szCs w:val="32"/>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3" w:hRule="atLeast"/>
        </w:trPr>
        <w:tc>
          <w:tcPr>
            <w:tcW w:w="1572" w:type="dxa"/>
            <w:vMerge w:val="continue"/>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20" w:type="dxa"/>
            <w:vMerge w:val="continue"/>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412" w:type="dxa"/>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50000以上</w:t>
            </w:r>
          </w:p>
        </w:tc>
        <w:tc>
          <w:tcPr>
            <w:tcW w:w="1164" w:type="dxa"/>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0.05%</w:t>
            </w:r>
          </w:p>
        </w:tc>
        <w:tc>
          <w:tcPr>
            <w:tcW w:w="1375" w:type="dxa"/>
            <w:vMerge w:val="continue"/>
            <w:vAlign w:val="top"/>
          </w:tcPr>
          <w:p>
            <w:pPr>
              <w:keepNext w:val="0"/>
              <w:keepLines w:val="0"/>
              <w:pageBreakBefore w:val="0"/>
              <w:kinsoku/>
              <w:wordWrap/>
              <w:overflowPunct/>
              <w:topLinePunct w:val="0"/>
              <w:autoSpaceDE/>
              <w:autoSpaceDN/>
              <w:bidi w:val="0"/>
              <w:adjustRightInd/>
              <w:snapToGrid/>
              <w:spacing w:before="174" w:line="560" w:lineRule="atLeast"/>
              <w:ind w:left="272"/>
              <w:textAlignment w:val="auto"/>
              <w:rPr>
                <w:rFonts w:hint="eastAsia" w:asciiTheme="minorEastAsia" w:hAnsiTheme="minorEastAsia" w:eastAsiaTheme="minorEastAsia" w:cstheme="minorEastAsia"/>
                <w:i w:val="0"/>
                <w:iCs w:val="0"/>
                <w:caps w:val="0"/>
                <w:color w:val="000000"/>
                <w:spacing w:val="0"/>
                <w:kern w:val="0"/>
                <w:sz w:val="32"/>
                <w:szCs w:val="32"/>
                <w:lang w:val="en-US" w:eastAsia="zh-CN" w:bidi="ar"/>
              </w:rPr>
            </w:pPr>
          </w:p>
        </w:tc>
      </w:tr>
    </w:tbl>
    <w:p>
      <w:pPr>
        <w:keepNext w:val="0"/>
        <w:keepLines w:val="0"/>
        <w:pageBreakBefore w:val="0"/>
        <w:widowControl/>
        <w:kinsoku/>
        <w:wordWrap/>
        <w:overflowPunct/>
        <w:topLinePunct w:val="0"/>
        <w:autoSpaceDE/>
        <w:autoSpaceDN/>
        <w:bidi w:val="0"/>
        <w:adjustRightInd w:val="0"/>
        <w:snapToGrid w:val="0"/>
        <w:spacing w:line="5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（2）竞价成交</w:t>
      </w:r>
    </w:p>
    <w:tbl>
      <w:tblPr>
        <w:tblStyle w:val="7"/>
        <w:tblW w:w="7260" w:type="dxa"/>
        <w:tblInd w:w="58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524"/>
        <w:gridCol w:w="792"/>
        <w:gridCol w:w="2388"/>
        <w:gridCol w:w="1263"/>
        <w:gridCol w:w="129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3" w:hRule="atLeast"/>
        </w:trPr>
        <w:tc>
          <w:tcPr>
            <w:tcW w:w="1524" w:type="dxa"/>
            <w:vAlign w:val="top"/>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收费项目</w:t>
            </w:r>
          </w:p>
        </w:tc>
        <w:tc>
          <w:tcPr>
            <w:tcW w:w="3180" w:type="dxa"/>
            <w:gridSpan w:val="2"/>
            <w:vAlign w:val="top"/>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收费基数（万元）</w:t>
            </w:r>
          </w:p>
        </w:tc>
        <w:tc>
          <w:tcPr>
            <w:tcW w:w="1263" w:type="dxa"/>
            <w:vAlign w:val="top"/>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费率</w:t>
            </w:r>
          </w:p>
        </w:tc>
        <w:tc>
          <w:tcPr>
            <w:tcW w:w="1293" w:type="dxa"/>
            <w:vAlign w:val="top"/>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收费对象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9" w:hRule="atLeast"/>
        </w:trPr>
        <w:tc>
          <w:tcPr>
            <w:tcW w:w="1524" w:type="dxa"/>
            <w:vMerge w:val="restart"/>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p>
            <w:pPr>
              <w:pStyle w:val="6"/>
              <w:keepNext w:val="0"/>
              <w:keepLines w:val="0"/>
              <w:pageBreakBefore w:val="0"/>
              <w:kinsoku/>
              <w:wordWrap/>
              <w:overflowPunct/>
              <w:topLinePunct w:val="0"/>
              <w:autoSpaceDE/>
              <w:autoSpaceDN/>
              <w:bidi w:val="0"/>
              <w:adjustRightInd/>
              <w:snapToGrid/>
              <w:spacing w:line="560" w:lineRule="atLeast"/>
              <w:ind w:firstLine="210" w:firstLineChars="100"/>
              <w:jc w:val="both"/>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基础服务费</w:t>
            </w:r>
          </w:p>
        </w:tc>
        <w:tc>
          <w:tcPr>
            <w:tcW w:w="3180" w:type="dxa"/>
            <w:gridSpan w:val="2"/>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转让底价</w:t>
            </w:r>
          </w:p>
        </w:tc>
        <w:tc>
          <w:tcPr>
            <w:tcW w:w="1263" w:type="dxa"/>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参照协议成交收取</w:t>
            </w:r>
          </w:p>
        </w:tc>
        <w:tc>
          <w:tcPr>
            <w:tcW w:w="1293" w:type="dxa"/>
            <w:vMerge w:val="restart"/>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转让方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9" w:hRule="atLeast"/>
        </w:trPr>
        <w:tc>
          <w:tcPr>
            <w:tcW w:w="1524" w:type="dxa"/>
            <w:vMerge w:val="continue"/>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restart"/>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溢价</w:t>
            </w:r>
          </w:p>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p>
            <w:pPr>
              <w:pStyle w:val="6"/>
              <w:keepNext w:val="0"/>
              <w:keepLines w:val="0"/>
              <w:pageBreakBefore w:val="0"/>
              <w:kinsoku/>
              <w:wordWrap/>
              <w:overflowPunct/>
              <w:topLinePunct w:val="0"/>
              <w:autoSpaceDE/>
              <w:autoSpaceDN/>
              <w:bidi w:val="0"/>
              <w:adjustRightInd/>
              <w:snapToGrid/>
              <w:spacing w:line="560" w:lineRule="atLeast"/>
              <w:ind w:firstLine="210" w:firstLineChars="100"/>
              <w:jc w:val="both"/>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金额</w:t>
            </w:r>
          </w:p>
        </w:tc>
        <w:tc>
          <w:tcPr>
            <w:tcW w:w="2388" w:type="dxa"/>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500以下（含）</w:t>
            </w:r>
          </w:p>
        </w:tc>
        <w:tc>
          <w:tcPr>
            <w:tcW w:w="1263" w:type="dxa"/>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5%</w:t>
            </w:r>
          </w:p>
        </w:tc>
        <w:tc>
          <w:tcPr>
            <w:tcW w:w="1293" w:type="dxa"/>
            <w:vMerge w:val="continue"/>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30"/>
                <w:szCs w:val="30"/>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9" w:hRule="atLeast"/>
        </w:trPr>
        <w:tc>
          <w:tcPr>
            <w:tcW w:w="1524" w:type="dxa"/>
            <w:vMerge w:val="continue"/>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continue"/>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388" w:type="dxa"/>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500-2000（含）</w:t>
            </w:r>
          </w:p>
        </w:tc>
        <w:tc>
          <w:tcPr>
            <w:tcW w:w="1263" w:type="dxa"/>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4%</w:t>
            </w:r>
          </w:p>
        </w:tc>
        <w:tc>
          <w:tcPr>
            <w:tcW w:w="1293" w:type="dxa"/>
            <w:vMerge w:val="continue"/>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30"/>
                <w:szCs w:val="30"/>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9" w:hRule="atLeast"/>
        </w:trPr>
        <w:tc>
          <w:tcPr>
            <w:tcW w:w="1524" w:type="dxa"/>
            <w:vMerge w:val="continue"/>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continue"/>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388" w:type="dxa"/>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2000-10000（含）</w:t>
            </w:r>
          </w:p>
        </w:tc>
        <w:tc>
          <w:tcPr>
            <w:tcW w:w="1263" w:type="dxa"/>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3%</w:t>
            </w:r>
          </w:p>
        </w:tc>
        <w:tc>
          <w:tcPr>
            <w:tcW w:w="1293" w:type="dxa"/>
            <w:vMerge w:val="continue"/>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30"/>
                <w:szCs w:val="30"/>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9" w:hRule="atLeast"/>
        </w:trPr>
        <w:tc>
          <w:tcPr>
            <w:tcW w:w="1524" w:type="dxa"/>
            <w:vMerge w:val="continue"/>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continue"/>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388" w:type="dxa"/>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10000-50000（含）</w:t>
            </w:r>
          </w:p>
        </w:tc>
        <w:tc>
          <w:tcPr>
            <w:tcW w:w="1263" w:type="dxa"/>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2%</w:t>
            </w:r>
          </w:p>
        </w:tc>
        <w:tc>
          <w:tcPr>
            <w:tcW w:w="1293" w:type="dxa"/>
            <w:vMerge w:val="continue"/>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30"/>
                <w:szCs w:val="30"/>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9" w:hRule="atLeast"/>
        </w:trPr>
        <w:tc>
          <w:tcPr>
            <w:tcW w:w="1524" w:type="dxa"/>
            <w:vMerge w:val="continue"/>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continue"/>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388" w:type="dxa"/>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50000以上</w:t>
            </w:r>
          </w:p>
        </w:tc>
        <w:tc>
          <w:tcPr>
            <w:tcW w:w="1263" w:type="dxa"/>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1%</w:t>
            </w:r>
          </w:p>
        </w:tc>
        <w:tc>
          <w:tcPr>
            <w:tcW w:w="1293" w:type="dxa"/>
            <w:vMerge w:val="continue"/>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9" w:hRule="atLeast"/>
        </w:trPr>
        <w:tc>
          <w:tcPr>
            <w:tcW w:w="1524" w:type="dxa"/>
            <w:vMerge w:val="continue"/>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restart"/>
            <w:vAlign w:val="center"/>
          </w:tcPr>
          <w:p>
            <w:pPr>
              <w:pStyle w:val="6"/>
              <w:keepNext w:val="0"/>
              <w:keepLines w:val="0"/>
              <w:pageBreakBefore w:val="0"/>
              <w:kinsoku/>
              <w:wordWrap/>
              <w:overflowPunct/>
              <w:topLinePunct w:val="0"/>
              <w:autoSpaceDE/>
              <w:autoSpaceDN/>
              <w:bidi w:val="0"/>
              <w:adjustRightInd/>
              <w:snapToGrid/>
              <w:spacing w:line="560" w:lineRule="atLeast"/>
              <w:ind w:firstLine="210" w:firstLineChars="100"/>
              <w:jc w:val="both"/>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转让</w:t>
            </w:r>
          </w:p>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底价</w:t>
            </w:r>
          </w:p>
        </w:tc>
        <w:tc>
          <w:tcPr>
            <w:tcW w:w="2388" w:type="dxa"/>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500以下（含）</w:t>
            </w:r>
          </w:p>
        </w:tc>
        <w:tc>
          <w:tcPr>
            <w:tcW w:w="1263" w:type="dxa"/>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3%</w:t>
            </w:r>
          </w:p>
        </w:tc>
        <w:tc>
          <w:tcPr>
            <w:tcW w:w="1293" w:type="dxa"/>
            <w:vMerge w:val="restart"/>
            <w:vAlign w:val="center"/>
          </w:tcPr>
          <w:p>
            <w:pPr>
              <w:pStyle w:val="6"/>
              <w:keepNext w:val="0"/>
              <w:keepLines w:val="0"/>
              <w:pageBreakBefore w:val="0"/>
              <w:kinsoku/>
              <w:wordWrap/>
              <w:overflowPunct/>
              <w:topLinePunct w:val="0"/>
              <w:autoSpaceDE/>
              <w:autoSpaceDN/>
              <w:bidi w:val="0"/>
              <w:adjustRightInd/>
              <w:snapToGrid/>
              <w:spacing w:line="560" w:lineRule="atLeast"/>
              <w:ind w:firstLine="210" w:firstLineChars="100"/>
              <w:jc w:val="both"/>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受让方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3" w:hRule="atLeast"/>
        </w:trPr>
        <w:tc>
          <w:tcPr>
            <w:tcW w:w="1524" w:type="dxa"/>
            <w:vMerge w:val="continue"/>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continue"/>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388" w:type="dxa"/>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500-2000（含）</w:t>
            </w:r>
          </w:p>
        </w:tc>
        <w:tc>
          <w:tcPr>
            <w:tcW w:w="1263" w:type="dxa"/>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2%</w:t>
            </w:r>
          </w:p>
        </w:tc>
        <w:tc>
          <w:tcPr>
            <w:tcW w:w="1293" w:type="dxa"/>
            <w:vMerge w:val="continue"/>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3" w:hRule="atLeast"/>
        </w:trPr>
        <w:tc>
          <w:tcPr>
            <w:tcW w:w="1524" w:type="dxa"/>
            <w:vMerge w:val="continue"/>
            <w:shd w:val="clear" w:color="auto" w:fill="auto"/>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continue"/>
            <w:shd w:val="clear" w:color="auto" w:fill="auto"/>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388" w:type="dxa"/>
            <w:shd w:val="clear" w:color="auto" w:fill="auto"/>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2000-10000（含）</w:t>
            </w:r>
          </w:p>
        </w:tc>
        <w:tc>
          <w:tcPr>
            <w:tcW w:w="1263" w:type="dxa"/>
            <w:shd w:val="clear" w:color="auto" w:fill="auto"/>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1%</w:t>
            </w:r>
          </w:p>
        </w:tc>
        <w:tc>
          <w:tcPr>
            <w:tcW w:w="1293" w:type="dxa"/>
            <w:vMerge w:val="continue"/>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3" w:hRule="atLeast"/>
        </w:trPr>
        <w:tc>
          <w:tcPr>
            <w:tcW w:w="1524" w:type="dxa"/>
            <w:vMerge w:val="continue"/>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continue"/>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388" w:type="dxa"/>
            <w:shd w:val="clear" w:color="auto" w:fill="auto"/>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10000-50000（含）</w:t>
            </w:r>
          </w:p>
        </w:tc>
        <w:tc>
          <w:tcPr>
            <w:tcW w:w="1263" w:type="dxa"/>
            <w:shd w:val="clear" w:color="auto" w:fill="auto"/>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0.5%</w:t>
            </w:r>
          </w:p>
        </w:tc>
        <w:tc>
          <w:tcPr>
            <w:tcW w:w="1293" w:type="dxa"/>
            <w:vMerge w:val="continue"/>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3" w:hRule="atLeast"/>
        </w:trPr>
        <w:tc>
          <w:tcPr>
            <w:tcW w:w="1524" w:type="dxa"/>
            <w:vMerge w:val="continue"/>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continue"/>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388" w:type="dxa"/>
            <w:shd w:val="clear" w:color="auto" w:fill="auto"/>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50000以上</w:t>
            </w:r>
          </w:p>
        </w:tc>
        <w:tc>
          <w:tcPr>
            <w:tcW w:w="1263" w:type="dxa"/>
            <w:shd w:val="clear" w:color="auto" w:fill="auto"/>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0.2%</w:t>
            </w:r>
          </w:p>
        </w:tc>
        <w:tc>
          <w:tcPr>
            <w:tcW w:w="1293" w:type="dxa"/>
            <w:vMerge w:val="continue"/>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3" w:hRule="atLeast"/>
        </w:trPr>
        <w:tc>
          <w:tcPr>
            <w:tcW w:w="7260" w:type="dxa"/>
            <w:gridSpan w:val="5"/>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溢价金额=成交金额一转让底价。</w:t>
            </w:r>
          </w:p>
        </w:tc>
      </w:tr>
    </w:tbl>
    <w:p>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按照收费基数的一定比例向交易双方分档递减累加收取基础服务费。项目未成交，不收取基础服务费。项目竞价成交但未产生溢价的，按协议成交方式计费。</w:t>
      </w:r>
    </w:p>
    <w:p>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cstheme="minorEastAsia"/>
          <w:sz w:val="24"/>
          <w:szCs w:val="24"/>
          <w:lang w:val="en-US" w:eastAsia="zh-CN"/>
        </w:rPr>
        <w:t>2</w:t>
      </w:r>
      <w:r>
        <w:rPr>
          <w:rFonts w:hint="eastAsia" w:asciiTheme="minorEastAsia" w:hAnsiTheme="minorEastAsia" w:eastAsiaTheme="minorEastAsia" w:cstheme="minorEastAsia"/>
          <w:sz w:val="24"/>
          <w:szCs w:val="24"/>
          <w:lang w:val="en-US" w:eastAsia="zh-CN"/>
        </w:rPr>
        <w:t>、其他类型资产转让项目。受让方在收到《</w:t>
      </w:r>
      <w:r>
        <w:rPr>
          <w:rFonts w:hint="eastAsia" w:asciiTheme="minorEastAsia" w:hAnsiTheme="minorEastAsia" w:cstheme="minorEastAsia"/>
          <w:sz w:val="24"/>
          <w:szCs w:val="24"/>
          <w:lang w:val="en-US" w:eastAsia="zh-CN"/>
        </w:rPr>
        <w:t>挂牌</w:t>
      </w:r>
      <w:r>
        <w:rPr>
          <w:rFonts w:hint="eastAsia" w:asciiTheme="minorEastAsia" w:hAnsiTheme="minorEastAsia" w:eastAsiaTheme="minorEastAsia" w:cstheme="minorEastAsia"/>
          <w:sz w:val="24"/>
          <w:szCs w:val="24"/>
          <w:lang w:val="en-US" w:eastAsia="zh-CN"/>
        </w:rPr>
        <w:t>结果通知单》后，应当按照信息披露公告的要求与转让方签署《资产交易合同》或其他成交确认文件，并在《资产交易合同》或其他成交确认文件生效之日起5个工作日内支付应付交易价款及交易费用至</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指定账户。受让方收费标准有约定的从其约定执行。</w:t>
      </w:r>
    </w:p>
    <w:p>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十四、意向受让方交纳的交易保证金可以根据约定转为交易价款的一部分；交易双方没有约定保证金转为部分交易价款，受让方已按约定支付交易价款且</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已出具交易凭证的，且未出现违约情形的，</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在收到受让方提交退还保证金书面申请后2个工作日内或按照产权交易合同的相关约定予以返还。其他未成交且无违约行为的意向受让方交纳的交易保证金，由</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在确定受让方之日起2个工作日内一次性原额无息返还。</w:t>
      </w:r>
    </w:p>
    <w:p>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十五、意向受让方须对其书面及交易系统提交的主体身份信息、银行账户信息和相关报名资格材料的真实性、完整性、合法性、有效性承担法律责任，并确保其内容不存在虚假记载、误导性陈述或重大遗漏。如意向受让方提供虚假资料、扰乱报价、恶意串通或其他违反法律法规的，</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有权取消其购买资格、确认报价无效，并扣收其保证金，保留对其追究法律责任的权利。</w:t>
      </w:r>
    </w:p>
    <w:p>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十六、</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将按以下方式之一向意向受让方发送有关事项通知：</w:t>
      </w:r>
    </w:p>
    <w:p>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1、通过意向受让方在</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交易系统预留的邮箱发送邮件；</w:t>
      </w:r>
    </w:p>
    <w:p>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2、按意向受让方提交的报名材料或交易系统中载明的联系人手机号码发送手机短信。</w:t>
      </w:r>
    </w:p>
    <w:p>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2" w:firstLineChars="200"/>
        <w:textAlignment w:val="auto"/>
        <w:rPr>
          <w:rFonts w:hint="eastAsia" w:asciiTheme="minorEastAsia" w:hAnsiTheme="minorEastAsia" w:eastAsiaTheme="minorEastAsia" w:cstheme="minorEastAsia"/>
          <w:b/>
          <w:bCs/>
          <w:kern w:val="0"/>
          <w:sz w:val="24"/>
          <w:szCs w:val="24"/>
        </w:rPr>
      </w:pPr>
      <w:r>
        <w:rPr>
          <w:rFonts w:hint="eastAsia" w:asciiTheme="minorEastAsia" w:hAnsiTheme="minorEastAsia" w:eastAsiaTheme="minorEastAsia" w:cstheme="minorEastAsia"/>
          <w:b/>
          <w:bCs/>
          <w:kern w:val="0"/>
          <w:sz w:val="24"/>
          <w:szCs w:val="24"/>
        </w:rPr>
        <w:t>邮箱信息或手机短信一旦发送成功，即视为意向受让方已经收到。请意向受让方确保其网上注册账户信息及报名材料信息准确无误，并保持手机通讯通畅，及时查看通知消息。</w:t>
      </w:r>
    </w:p>
    <w:p>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十七、意向受让方应妥善保管自己的网上注册账户和密码，并对其注册账户的安全性负责，任何人使用意向受让方的网上注册账户进行网上报名和参与竞价活动的，均视为意向受让方的真实意思表示，并视为意向受让方已取得有权机构的审批或授权。</w:t>
      </w:r>
    </w:p>
    <w:p>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十八、因意向受让方如下行为产生的一切后果，</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不承担任何责任：</w:t>
      </w:r>
    </w:p>
    <w:p>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1、未及时关注</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及竞价系统发布的网络竞价活动相关信息的。</w:t>
      </w:r>
    </w:p>
    <w:p>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2、由于意向受让方使用的终端设备和网络异常等原因导致无法正常报价的。</w:t>
      </w:r>
    </w:p>
    <w:p>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3、网络竞价活动的时间以竞价系统服务器时间为准。由于意向受让方使用的终端设备时间与竞价系统服务器时间不符而导致未按时参与报价的。</w:t>
      </w:r>
    </w:p>
    <w:p>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十九、竞价系统因软硬件故障</w:t>
      </w:r>
      <w:r>
        <w:rPr>
          <w:rFonts w:hint="eastAsia" w:asciiTheme="minorEastAsia" w:hAnsiTheme="minorEastAsia" w:cstheme="minorEastAsia"/>
          <w:sz w:val="24"/>
          <w:szCs w:val="24"/>
          <w:lang w:val="en-US" w:eastAsia="zh-CN"/>
        </w:rPr>
        <w:t>、</w:t>
      </w:r>
      <w:r>
        <w:rPr>
          <w:rFonts w:hint="eastAsia" w:asciiTheme="minorEastAsia" w:hAnsiTheme="minorEastAsia" w:eastAsiaTheme="minorEastAsia" w:cstheme="minorEastAsia"/>
          <w:sz w:val="24"/>
          <w:szCs w:val="24"/>
          <w:lang w:val="en-US" w:eastAsia="zh-CN"/>
        </w:rPr>
        <w:t>不可抗力、非法入侵、恶意攻击等原因而导致系统异常、竞价活动中断的，</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不承担任何责任。</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将视情况组织继续报价或重新报价，并通过</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网站通知各意向受让方。继续报价或重新报价的方式如下：</w:t>
      </w:r>
    </w:p>
    <w:p>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报价记录可以恢复的，以中断时的最高有效报价为起始价继续报价；报价记录无法恢复的，以转让底价为起始价重新报价。</w:t>
      </w:r>
    </w:p>
    <w:p>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二十、意向受让方须同意，如违反本项目《须知》的，</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有权取消其竞买资格，并同意</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根据《山东文化产权交易所交易保证金操作细则》及本项目《须知》扣收其交纳的保证金。</w:t>
      </w:r>
    </w:p>
    <w:p>
      <w:pPr>
        <w:keepNext w:val="0"/>
        <w:keepLines w:val="0"/>
        <w:pageBreakBefore w:val="0"/>
        <w:widowControl/>
        <w:kinsoku/>
        <w:wordWrap/>
        <w:overflowPunct/>
        <w:topLinePunct w:val="0"/>
        <w:autoSpaceDE/>
        <w:autoSpaceDN/>
        <w:bidi w:val="0"/>
        <w:spacing w:line="460" w:lineRule="atLeast"/>
        <w:ind w:right="-199" w:rightChars="-95" w:firstLine="482" w:firstLineChars="200"/>
        <w:textAlignment w:val="auto"/>
        <w:rPr>
          <w:rFonts w:hint="eastAsia" w:asciiTheme="minorEastAsia" w:hAnsiTheme="minorEastAsia" w:eastAsiaTheme="minorEastAsia" w:cstheme="minorEastAsia"/>
          <w:b/>
          <w:bCs/>
          <w:kern w:val="0"/>
          <w:sz w:val="24"/>
          <w:szCs w:val="24"/>
        </w:rPr>
      </w:pPr>
      <w:r>
        <w:rPr>
          <w:rFonts w:hint="eastAsia" w:asciiTheme="minorEastAsia" w:hAnsiTheme="minorEastAsia" w:eastAsiaTheme="minorEastAsia" w:cstheme="minorEastAsia"/>
          <w:b/>
          <w:bCs/>
          <w:kern w:val="0"/>
          <w:sz w:val="24"/>
          <w:szCs w:val="24"/>
        </w:rPr>
        <w:t>二十一、意向受让方须同意，被确定为受让方后不能在规定时间内与转让方签订《资产交易合同》并付清交易价款及交易费用、按要求完成项目移交的，承诺承担以下责任：</w:t>
      </w:r>
    </w:p>
    <w:p>
      <w:pPr>
        <w:keepNext w:val="0"/>
        <w:keepLines w:val="0"/>
        <w:pageBreakBefore w:val="0"/>
        <w:widowControl/>
        <w:kinsoku/>
        <w:wordWrap/>
        <w:overflowPunct/>
        <w:topLinePunct w:val="0"/>
        <w:autoSpaceDE/>
        <w:autoSpaceDN/>
        <w:bidi w:val="0"/>
        <w:spacing w:line="460" w:lineRule="atLeast"/>
        <w:ind w:right="-199" w:rightChars="-95" w:firstLine="482" w:firstLineChars="200"/>
        <w:textAlignment w:val="auto"/>
        <w:rPr>
          <w:rFonts w:hint="eastAsia" w:asciiTheme="minorEastAsia" w:hAnsiTheme="minorEastAsia" w:eastAsiaTheme="minorEastAsia" w:cstheme="minorEastAsia"/>
          <w:b/>
          <w:bCs/>
          <w:kern w:val="0"/>
          <w:sz w:val="24"/>
          <w:szCs w:val="24"/>
        </w:rPr>
      </w:pPr>
      <w:r>
        <w:rPr>
          <w:rFonts w:hint="eastAsia" w:asciiTheme="minorEastAsia" w:hAnsiTheme="minorEastAsia" w:eastAsiaTheme="minorEastAsia" w:cstheme="minorEastAsia"/>
          <w:b/>
          <w:bCs/>
          <w:kern w:val="0"/>
          <w:sz w:val="24"/>
          <w:szCs w:val="24"/>
        </w:rPr>
        <w:t>未能在规定时间内与转让方签订《资产交易合同》并付清全部交易价款及交易费用的，构成违约。意向受让方同意</w:t>
      </w:r>
      <w:r>
        <w:rPr>
          <w:rFonts w:hint="eastAsia" w:asciiTheme="minorEastAsia" w:hAnsiTheme="minorEastAsia" w:cstheme="minorEastAsia"/>
          <w:b/>
          <w:bCs/>
          <w:kern w:val="0"/>
          <w:sz w:val="24"/>
          <w:szCs w:val="24"/>
          <w:lang w:eastAsia="zh-CN"/>
        </w:rPr>
        <w:t>交易所</w:t>
      </w:r>
      <w:r>
        <w:rPr>
          <w:rFonts w:hint="eastAsia" w:asciiTheme="minorEastAsia" w:hAnsiTheme="minorEastAsia" w:eastAsiaTheme="minorEastAsia" w:cstheme="minorEastAsia"/>
          <w:b/>
          <w:bCs/>
          <w:kern w:val="0"/>
          <w:sz w:val="24"/>
          <w:szCs w:val="24"/>
        </w:rPr>
        <w:t>按照《山东文化产权交易所交易保证金操作细则》扣收保证金。受让方构成违约的，仍须承担本次交易活动受让方及转让方的全部交易费用。转让方和</w:t>
      </w:r>
      <w:r>
        <w:rPr>
          <w:rFonts w:hint="eastAsia" w:asciiTheme="minorEastAsia" w:hAnsiTheme="minorEastAsia" w:cstheme="minorEastAsia"/>
          <w:b/>
          <w:bCs/>
          <w:kern w:val="0"/>
          <w:sz w:val="24"/>
          <w:szCs w:val="24"/>
          <w:lang w:eastAsia="zh-CN"/>
        </w:rPr>
        <w:t>交易所</w:t>
      </w:r>
      <w:r>
        <w:rPr>
          <w:rFonts w:hint="eastAsia" w:asciiTheme="minorEastAsia" w:hAnsiTheme="minorEastAsia" w:eastAsiaTheme="minorEastAsia" w:cstheme="minorEastAsia"/>
          <w:b/>
          <w:bCs/>
          <w:kern w:val="0"/>
          <w:sz w:val="24"/>
          <w:szCs w:val="24"/>
        </w:rPr>
        <w:t>有权再次组织本项目的交易活动，再次成交的成交价如低于本次成交价，则差额部分由受让方补足，并承担相关费用；若保证金不足以弥补上述费用的，转让方和</w:t>
      </w:r>
      <w:r>
        <w:rPr>
          <w:rFonts w:hint="eastAsia" w:asciiTheme="minorEastAsia" w:hAnsiTheme="minorEastAsia" w:cstheme="minorEastAsia"/>
          <w:b/>
          <w:bCs/>
          <w:kern w:val="0"/>
          <w:sz w:val="24"/>
          <w:szCs w:val="24"/>
          <w:lang w:eastAsia="zh-CN"/>
        </w:rPr>
        <w:t>交易所</w:t>
      </w:r>
      <w:r>
        <w:rPr>
          <w:rFonts w:hint="eastAsia" w:asciiTheme="minorEastAsia" w:hAnsiTheme="minorEastAsia" w:eastAsiaTheme="minorEastAsia" w:cstheme="minorEastAsia"/>
          <w:b/>
          <w:bCs/>
          <w:kern w:val="0"/>
          <w:sz w:val="24"/>
          <w:szCs w:val="24"/>
        </w:rPr>
        <w:t>有权向受让方进行追偿。</w:t>
      </w:r>
    </w:p>
    <w:p>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二十二、因本《须知》的履行或因与本《须知》有关的其他方面而产生的任何问题、争议或分歧，应首先通过友好协商加以解决。如</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或意向受让方任何一方发出要求协商解决的通知7日内，双方未能达成解决方案，则该问题、争议或分歧应向济南市高新区人民法院起诉。在诉讼过程中，除有争议正在进行诉讼的部分外，本《须知》其他部分应继续履行。</w:t>
      </w:r>
    </w:p>
    <w:p>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二十三、意向受让方应当对在资产转让过程中获悉的交易各方及标的的相关情况承担保密义务。</w:t>
      </w:r>
    </w:p>
    <w:p>
      <w:pPr>
        <w:widowControl/>
        <w:spacing w:line="320" w:lineRule="exact"/>
        <w:ind w:left="-283" w:leftChars="-135" w:right="-199" w:rightChars="-95" w:firstLine="164" w:firstLineChars="78"/>
      </w:pPr>
      <w:r>
        <w:rPr>
          <w:rFonts w:hint="eastAsia" w:cs="宋体" w:asciiTheme="minorEastAsia" w:hAnsiTheme="minorEastAsia"/>
          <w:b/>
          <w:kern w:val="0"/>
          <w:szCs w:val="21"/>
        </w:rPr>
        <w:t xml:space="preserve">□ 承诺方为企业法人或其他经济组织的： </w:t>
      </w:r>
      <w:r>
        <w:t xml:space="preserve">                   </w:t>
      </w:r>
      <w:r>
        <w:rPr>
          <w:rFonts w:hint="eastAsia" w:cs="宋体" w:asciiTheme="minorEastAsia" w:hAnsiTheme="minorEastAsia"/>
          <w:b/>
          <w:kern w:val="0"/>
          <w:szCs w:val="21"/>
        </w:rPr>
        <w:t>□ 承诺方为自然人的：</w:t>
      </w:r>
    </w:p>
    <w:p>
      <w:pPr>
        <w:widowControl/>
        <w:spacing w:line="320" w:lineRule="exact"/>
        <w:ind w:left="-283" w:leftChars="-135" w:right="-199" w:rightChars="-95" w:firstLine="163" w:firstLineChars="78"/>
        <w:rPr>
          <w:rFonts w:asciiTheme="minorEastAsia" w:hAnsiTheme="minorEastAsia"/>
          <w:kern w:val="0"/>
          <w:szCs w:val="21"/>
        </w:rPr>
      </w:pPr>
    </w:p>
    <w:p>
      <w:pPr>
        <w:widowControl/>
        <w:spacing w:line="320" w:lineRule="exact"/>
        <w:ind w:left="-283" w:leftChars="-135" w:right="-199" w:rightChars="-95" w:firstLine="163" w:firstLineChars="78"/>
        <w:rPr>
          <w:rFonts w:asciiTheme="minorEastAsia" w:hAnsiTheme="minorEastAsia"/>
          <w:kern w:val="0"/>
          <w:szCs w:val="21"/>
          <w:u w:val="single"/>
        </w:rPr>
      </w:pPr>
      <w:r>
        <w:rPr>
          <w:rFonts w:hint="eastAsia" w:cs="宋体" w:asciiTheme="minorEastAsia" w:hAnsiTheme="minorEastAsia"/>
          <w:kern w:val="0"/>
          <w:szCs w:val="21"/>
        </w:rPr>
        <w:t>承诺方（盖章）：</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asciiTheme="minorEastAsia" w:hAnsiTheme="minorEastAsia"/>
          <w:kern w:val="0"/>
          <w:szCs w:val="21"/>
        </w:rPr>
        <w:t> </w:t>
      </w:r>
      <w:r>
        <w:rPr>
          <w:rFonts w:hint="eastAsia" w:asciiTheme="minorEastAsia" w:hAnsiTheme="minorEastAsia"/>
          <w:kern w:val="0"/>
          <w:szCs w:val="21"/>
        </w:rPr>
        <w:t xml:space="preserve">        </w:t>
      </w:r>
      <w:r>
        <w:rPr>
          <w:rFonts w:asciiTheme="minorEastAsia" w:hAnsiTheme="minorEastAsia"/>
          <w:kern w:val="0"/>
          <w:szCs w:val="21"/>
        </w:rPr>
        <w:t xml:space="preserve">                  </w:t>
      </w:r>
      <w:r>
        <w:rPr>
          <w:rFonts w:hint="eastAsia" w:asciiTheme="minorEastAsia" w:hAnsiTheme="minorEastAsia"/>
          <w:kern w:val="0"/>
          <w:szCs w:val="21"/>
        </w:rPr>
        <w:t>承诺方（签字、手印）</w:t>
      </w:r>
      <w:r>
        <w:rPr>
          <w:rFonts w:hint="eastAsia" w:asciiTheme="minorEastAsia" w:hAnsiTheme="minorEastAsia"/>
          <w:kern w:val="0"/>
          <w:szCs w:val="21"/>
          <w:lang w:eastAsia="zh-CN"/>
        </w:rPr>
        <w:t>：</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p>
    <w:p>
      <w:pPr>
        <w:widowControl/>
        <w:spacing w:line="320" w:lineRule="exact"/>
        <w:ind w:left="-283" w:leftChars="-135" w:right="-199" w:rightChars="-95" w:firstLine="163" w:firstLineChars="78"/>
        <w:rPr>
          <w:rFonts w:ascii="宋体" w:hAnsi="Times New Roman" w:eastAsia="宋体" w:cs="Times New Roman"/>
          <w:kern w:val="0"/>
          <w:szCs w:val="21"/>
        </w:rPr>
      </w:pPr>
      <w:r>
        <w:rPr>
          <w:rFonts w:hint="eastAsia" w:asciiTheme="minorEastAsia" w:hAnsiTheme="minorEastAsia"/>
          <w:kern w:val="0"/>
          <w:szCs w:val="21"/>
        </w:rPr>
        <w:t>法定</w:t>
      </w:r>
      <w:r>
        <w:rPr>
          <w:rFonts w:hint="eastAsia" w:cs="宋体" w:asciiTheme="minorEastAsia" w:hAnsiTheme="minorEastAsia"/>
          <w:kern w:val="0"/>
          <w:szCs w:val="21"/>
        </w:rPr>
        <w:t>代表人/授权代表人（签字）：</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hint="eastAsia" w:ascii="宋体" w:hAnsi="Times New Roman" w:eastAsia="宋体" w:cs="Times New Roman"/>
          <w:kern w:val="0"/>
          <w:szCs w:val="21"/>
        </w:rPr>
        <w:t xml:space="preserve"> </w:t>
      </w:r>
    </w:p>
    <w:p>
      <w:pPr>
        <w:widowControl/>
        <w:spacing w:line="320" w:lineRule="exact"/>
        <w:ind w:left="-283" w:leftChars="-135" w:right="-199" w:rightChars="-95" w:firstLine="163" w:firstLineChars="78"/>
        <w:rPr>
          <w:rFonts w:ascii="Times New Roman" w:hAnsi="Times New Roman" w:eastAsia="宋体" w:cs="Times New Roman"/>
          <w:szCs w:val="21"/>
        </w:rPr>
      </w:pP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ascii="宋体" w:hAnsi="Times New Roman" w:eastAsia="宋体" w:cs="Times New Roman"/>
          <w:kern w:val="0"/>
          <w:szCs w:val="21"/>
          <w:u w:val="single"/>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宋体" w:eastAsia="宋体" w:cs="Times New Roman"/>
          <w:kern w:val="0"/>
          <w:szCs w:val="21"/>
        </w:rPr>
        <w:t xml:space="preserve">        </w:t>
      </w:r>
      <w:r>
        <w:rPr>
          <w:rFonts w:hint="eastAsia" w:ascii="Times New Roman" w:hAnsi="Times New Roman" w:eastAsia="宋体" w:cs="Times New Roman"/>
          <w:szCs w:val="21"/>
        </w:rPr>
        <w:t xml:space="preserve">  </w:t>
      </w:r>
      <w:r>
        <w:rPr>
          <w:rFonts w:ascii="Times New Roman" w:hAnsi="Times New Roman" w:eastAsia="宋体" w:cs="Times New Roman"/>
          <w:szCs w:val="21"/>
        </w:rPr>
        <w:t xml:space="preserve">              </w:t>
      </w:r>
    </w:p>
    <w:p>
      <w:pPr>
        <w:widowControl/>
        <w:spacing w:line="320" w:lineRule="exact"/>
        <w:ind w:left="-283" w:leftChars="-135" w:right="-199" w:rightChars="-95" w:firstLine="163" w:firstLineChars="78"/>
        <w:rPr>
          <w:rFonts w:ascii="Times New Roman" w:hAnsi="Times New Roman" w:eastAsia="宋体" w:cs="Times New Roman"/>
          <w:szCs w:val="21"/>
        </w:rPr>
      </w:pPr>
      <w:r>
        <w:rPr>
          <w:rFonts w:ascii="Times New Roman" w:hAnsi="Times New Roman" w:eastAsia="宋体" w:cs="Times New Roman"/>
          <w:szCs w:val="21"/>
        </w:rPr>
        <w:t>20</w:t>
      </w:r>
      <w:r>
        <w:rPr>
          <w:rFonts w:hint="eastAsia" w:ascii="Times New Roman" w:hAnsi="Times New Roman" w:eastAsia="宋体" w:cs="Times New Roman"/>
          <w:szCs w:val="21"/>
        </w:rPr>
        <w:t>2</w:t>
      </w:r>
      <w:r>
        <w:rPr>
          <w:rFonts w:hint="eastAsia" w:ascii="Times New Roman" w:hAnsi="Times New Roman" w:eastAsia="宋体" w:cs="Times New Roman"/>
          <w:szCs w:val="21"/>
          <w:lang w:val="en-US" w:eastAsia="zh-CN"/>
        </w:rPr>
        <w:t>6</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u w:val="single"/>
          <w:lang w:val="en-US" w:eastAsia="zh-CN"/>
        </w:rPr>
        <w:t xml:space="preserve">  </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u w:val="single"/>
          <w:lang w:val="en-US" w:eastAsia="zh-CN"/>
        </w:rPr>
        <w:t xml:space="preserve">   </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 xml:space="preserve">日 </w:t>
      </w:r>
      <w:r>
        <w:rPr>
          <w:rFonts w:ascii="Times New Roman" w:hAnsi="Times New Roman" w:eastAsia="宋体" w:cs="Times New Roman"/>
          <w:szCs w:val="21"/>
        </w:rPr>
        <w:t xml:space="preserve">                                  20</w:t>
      </w:r>
      <w:r>
        <w:rPr>
          <w:rFonts w:hint="eastAsia" w:ascii="Times New Roman" w:hAnsi="Times New Roman" w:eastAsia="宋体" w:cs="Times New Roman"/>
          <w:szCs w:val="21"/>
        </w:rPr>
        <w:t>2</w:t>
      </w:r>
      <w:r>
        <w:rPr>
          <w:rFonts w:hint="eastAsia" w:ascii="Times New Roman" w:hAnsi="Times New Roman" w:eastAsia="宋体" w:cs="Times New Roman"/>
          <w:szCs w:val="21"/>
          <w:lang w:val="en-US" w:eastAsia="zh-CN"/>
        </w:rPr>
        <w:t>6</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u w:val="single"/>
          <w:lang w:val="en-US" w:eastAsia="zh-CN"/>
        </w:rPr>
        <w:t xml:space="preserve">  </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u w:val="single"/>
          <w:lang w:val="en-US" w:eastAsia="zh-CN"/>
        </w:rPr>
        <w:t xml:space="preserve">  </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日</w:t>
      </w:r>
    </w:p>
    <w:p>
      <w:pPr>
        <w:widowControl/>
        <w:spacing w:line="360" w:lineRule="exact"/>
        <w:ind w:left="-283" w:leftChars="-135" w:right="-199" w:rightChars="-95" w:firstLine="163" w:firstLineChars="78"/>
        <w:rPr>
          <w:rFonts w:cs="宋体" w:asciiTheme="minorEastAsia" w:hAnsiTheme="minorEastAsia"/>
          <w:kern w:val="0"/>
          <w:szCs w:val="21"/>
        </w:rPr>
      </w:pPr>
    </w:p>
    <w:p>
      <w:pPr>
        <w:widowControl/>
        <w:spacing w:line="360" w:lineRule="exact"/>
        <w:ind w:left="-283" w:leftChars="-135" w:right="-199" w:rightChars="-95" w:firstLine="163" w:firstLineChars="78"/>
        <w:rPr>
          <w:rFonts w:cs="宋体" w:asciiTheme="minorEastAsia" w:hAnsiTheme="minorEastAsia"/>
          <w:kern w:val="0"/>
          <w:szCs w:val="21"/>
        </w:rPr>
      </w:pPr>
    </w:p>
    <w:p>
      <w:pPr>
        <w:pStyle w:val="2"/>
        <w:rPr>
          <w:rFonts w:hint="eastAsia"/>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auto"/>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FDC4BC1"/>
    <w:multiLevelType w:val="singleLevel"/>
    <w:tmpl w:val="5FDC4BC1"/>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k1MzdlODI5ODFhZGY0ODM2NjBkODI5OGZiOWU4ODAifQ=="/>
  </w:docVars>
  <w:rsids>
    <w:rsidRoot w:val="57F04728"/>
    <w:rsid w:val="03220D7A"/>
    <w:rsid w:val="06C6367B"/>
    <w:rsid w:val="14DD62F1"/>
    <w:rsid w:val="19654414"/>
    <w:rsid w:val="1AA01EDA"/>
    <w:rsid w:val="1D121820"/>
    <w:rsid w:val="20E70900"/>
    <w:rsid w:val="27B575DF"/>
    <w:rsid w:val="2CA90A4C"/>
    <w:rsid w:val="37330D6D"/>
    <w:rsid w:val="3E185F67"/>
    <w:rsid w:val="49884C4F"/>
    <w:rsid w:val="49980CF6"/>
    <w:rsid w:val="57F04728"/>
    <w:rsid w:val="6D2D5AFA"/>
    <w:rsid w:val="74F256A9"/>
    <w:rsid w:val="781E0135"/>
    <w:rsid w:val="7DE66F30"/>
    <w:rsid w:val="7F24048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4">
    <w:name w:val="Default Paragraph Font"/>
    <w:autoRedefine/>
    <w:semiHidden/>
    <w:qFormat/>
    <w:uiPriority w:val="0"/>
  </w:style>
  <w:style w:type="table" w:default="1" w:styleId="3">
    <w:name w:val="Normal Table"/>
    <w:autoRedefine/>
    <w:semiHidden/>
    <w:qFormat/>
    <w:uiPriority w:val="0"/>
    <w:tblPr>
      <w:tblCellMar>
        <w:top w:w="0" w:type="dxa"/>
        <w:left w:w="108" w:type="dxa"/>
        <w:bottom w:w="0" w:type="dxa"/>
        <w:right w:w="108" w:type="dxa"/>
      </w:tblCellMar>
    </w:tblPr>
  </w:style>
  <w:style w:type="paragraph" w:styleId="2">
    <w:name w:val="Normal Indent"/>
    <w:basedOn w:val="1"/>
    <w:autoRedefine/>
    <w:qFormat/>
    <w:uiPriority w:val="0"/>
    <w:pPr>
      <w:snapToGrid w:val="0"/>
      <w:spacing w:line="300" w:lineRule="auto"/>
      <w:ind w:firstLine="556"/>
    </w:pPr>
    <w:rPr>
      <w:rFonts w:ascii="仿宋_GB2312" w:hAnsi="Times New Roman" w:eastAsia="仿宋_GB2312" w:cs="Times New Roman"/>
      <w:kern w:val="0"/>
      <w:szCs w:val="20"/>
    </w:rPr>
  </w:style>
  <w:style w:type="character" w:styleId="5">
    <w:name w:val="Hyperlink"/>
    <w:basedOn w:val="4"/>
    <w:autoRedefine/>
    <w:semiHidden/>
    <w:unhideWhenUsed/>
    <w:qFormat/>
    <w:uiPriority w:val="99"/>
    <w:rPr>
      <w:color w:val="0000FF"/>
      <w:u w:val="single"/>
    </w:rPr>
  </w:style>
  <w:style w:type="paragraph" w:customStyle="1" w:styleId="6">
    <w:name w:val="Table Text"/>
    <w:basedOn w:val="1"/>
    <w:autoRedefine/>
    <w:semiHidden/>
    <w:qFormat/>
    <w:uiPriority w:val="0"/>
    <w:rPr>
      <w:rFonts w:ascii="Arial" w:hAnsi="Arial" w:eastAsia="Arial" w:cs="Arial"/>
      <w:sz w:val="21"/>
      <w:szCs w:val="21"/>
      <w:lang w:val="en-US" w:eastAsia="en-US" w:bidi="ar-SA"/>
    </w:rPr>
  </w:style>
  <w:style w:type="table" w:customStyle="1" w:styleId="7">
    <w:name w:val="Table Normal"/>
    <w:autoRedefine/>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4458</Words>
  <Characters>4616</Characters>
  <Lines>0</Lines>
  <Paragraphs>0</Paragraphs>
  <TotalTime>0</TotalTime>
  <ScaleCrop>false</ScaleCrop>
  <LinksUpToDate>false</LinksUpToDate>
  <CharactersWithSpaces>4838</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2025-01-22T02:07:00Z</dcterms:created>
  <dc:creator>裴一嫚</dc:creator>
  <cp:lastModifiedBy>一方通行</cp:lastModifiedBy>
  <dcterms:modified xsi:type="dcterms:W3CDTF">2026-09-22T08:00:04Z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53DF6D3910B9445B80A8D8F0A580C8AA</vt:lpwstr>
  </property>
  <property fmtid="{D5CDD505-2E9C-101B-9397-08002B2CF9AE}" pid="4" name="KSOTemplateDocerSaveRecord">
    <vt:lpwstr>eyJoZGlkIjoiMTAwOTE5MmI1YzU2NjY1OWZlZDgzMjM1M2M5ZGYzZWYiLCJ1c2VySWQiOiI0NTE0MjkyMTcifQ==</vt:lpwstr>
  </property>
</Properties>
</file>