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齐鲁师范学院所属报废锅炉、桌椅等资产包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起拍价5.272万元，保证金5万元。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3B3863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2.转让标的现存放于</w:t>
      </w:r>
      <w:r>
        <w:rPr>
          <w:rFonts w:hint="eastAsia" w:ascii="宋体" w:hAnsi="宋体" w:eastAsiaTheme="minorEastAsia"/>
          <w:color w:val="auto"/>
          <w:sz w:val="24"/>
          <w:lang w:eastAsia="zh-CN"/>
        </w:rPr>
        <w:t>山东省济南市章丘区文博路2号</w:t>
      </w:r>
      <w:r>
        <w:rPr>
          <w:rFonts w:hint="eastAsia" w:ascii="宋体" w:hAnsi="宋体"/>
          <w:color w:val="auto"/>
          <w:sz w:val="24"/>
          <w:lang w:eastAsia="zh-CN"/>
        </w:rPr>
        <w:t>齐鲁师范学院院内</w:t>
      </w:r>
      <w:r>
        <w:rPr>
          <w:rFonts w:hint="eastAsia" w:ascii="宋体" w:hAnsi="宋体" w:eastAsiaTheme="minorEastAsia" w:cstheme="minorBidi"/>
          <w:color w:val="auto"/>
          <w:kern w:val="2"/>
          <w:sz w:val="24"/>
          <w:szCs w:val="22"/>
          <w:lang w:val="en-US" w:eastAsia="zh-CN" w:bidi="ar-SA"/>
        </w:rPr>
        <w:t>。</w:t>
      </w:r>
    </w:p>
    <w:p w14:paraId="0E7D0C5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3.转</w:t>
      </w:r>
      <w:r>
        <w:rPr>
          <w:rFonts w:hint="eastAsia" w:ascii="宋体" w:hAnsi="宋体" w:eastAsiaTheme="minorEastAsia"/>
          <w:color w:val="auto"/>
          <w:sz w:val="24"/>
          <w:lang w:eastAsia="zh-CN"/>
        </w:rPr>
        <w:t>让标的目前处于闲置</w:t>
      </w:r>
      <w:r>
        <w:rPr>
          <w:rFonts w:hint="eastAsia" w:ascii="宋体" w:hAnsi="宋体"/>
          <w:color w:val="auto"/>
          <w:sz w:val="24"/>
          <w:lang w:eastAsia="zh-CN"/>
        </w:rPr>
        <w:t>报废</w:t>
      </w:r>
      <w:r>
        <w:rPr>
          <w:rFonts w:hint="eastAsia" w:ascii="宋体" w:hAnsi="宋体" w:eastAsiaTheme="minorEastAsia"/>
          <w:color w:val="auto"/>
          <w:sz w:val="24"/>
          <w:lang w:eastAsia="zh-CN"/>
        </w:rPr>
        <w:t>状态，标的实际情况以移交时的现状为准，转让方及</w:t>
      </w:r>
      <w:r>
        <w:rPr>
          <w:rFonts w:hint="eastAsia" w:ascii="宋体" w:hAnsi="宋体" w:eastAsiaTheme="minorEastAsia"/>
          <w:color w:val="auto"/>
          <w:sz w:val="24"/>
          <w:lang w:val="en-US" w:eastAsia="zh-CN"/>
        </w:rPr>
        <w:t>本公司</w:t>
      </w:r>
      <w:r>
        <w:rPr>
          <w:rFonts w:hint="eastAsia" w:ascii="宋体" w:hAnsi="宋体" w:eastAsiaTheme="minorEastAsia"/>
          <w:color w:val="auto"/>
          <w:sz w:val="24"/>
          <w:lang w:eastAsia="zh-CN"/>
        </w:rPr>
        <w:t>不对标的质量、性能、数量等提供任何保证</w:t>
      </w:r>
      <w:r>
        <w:rPr>
          <w:rFonts w:hint="eastAsia" w:ascii="宋体" w:hAnsi="宋体" w:eastAsiaTheme="minorEastAsia" w:cstheme="minorBidi"/>
          <w:color w:val="auto"/>
          <w:kern w:val="2"/>
          <w:sz w:val="24"/>
          <w:szCs w:val="22"/>
          <w:lang w:val="en-US" w:eastAsia="zh-CN" w:bidi="ar-SA"/>
        </w:rPr>
        <w:t>。</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4.其</w:t>
      </w:r>
      <w:r>
        <w:rPr>
          <w:rFonts w:hint="eastAsia" w:ascii="宋体" w:hAnsi="宋体" w:eastAsiaTheme="minorEastAsia"/>
          <w:color w:val="auto"/>
          <w:sz w:val="24"/>
          <w:lang w:eastAsia="zh-CN"/>
        </w:rPr>
        <w:t>他事项详见</w:t>
      </w:r>
      <w:r>
        <w:rPr>
          <w:rFonts w:hint="eastAsia" w:ascii="宋体" w:hAnsi="宋体" w:eastAsiaTheme="minorEastAsia"/>
          <w:color w:val="auto"/>
          <w:sz w:val="24"/>
          <w:lang w:val="en-US" w:eastAsia="zh-CN"/>
        </w:rPr>
        <w:t>中价信评字(202</w:t>
      </w:r>
      <w:r>
        <w:rPr>
          <w:rFonts w:hint="eastAsia" w:ascii="宋体" w:hAnsi="宋体"/>
          <w:color w:val="auto"/>
          <w:sz w:val="24"/>
          <w:lang w:val="en-US" w:eastAsia="zh-CN"/>
        </w:rPr>
        <w:t>6</w:t>
      </w:r>
      <w:r>
        <w:rPr>
          <w:rFonts w:hint="eastAsia" w:ascii="宋体" w:hAnsi="宋体" w:eastAsiaTheme="minorEastAsia"/>
          <w:color w:val="auto"/>
          <w:sz w:val="24"/>
          <w:lang w:val="en-US" w:eastAsia="zh-CN"/>
        </w:rPr>
        <w:t>)第</w:t>
      </w:r>
      <w:r>
        <w:rPr>
          <w:rFonts w:hint="eastAsia" w:ascii="宋体" w:hAnsi="宋体"/>
          <w:color w:val="auto"/>
          <w:sz w:val="24"/>
          <w:lang w:val="en-US" w:eastAsia="zh-CN"/>
        </w:rPr>
        <w:t>013</w:t>
      </w:r>
      <w:r>
        <w:rPr>
          <w:rFonts w:hint="eastAsia" w:ascii="宋体" w:hAnsi="宋体" w:eastAsiaTheme="minorEastAsia"/>
          <w:color w:val="auto"/>
          <w:sz w:val="24"/>
          <w:lang w:val="en-US" w:eastAsia="zh-CN"/>
        </w:rPr>
        <w:t>号</w:t>
      </w:r>
      <w:r>
        <w:rPr>
          <w:rFonts w:hint="eastAsia" w:ascii="宋体" w:hAnsi="宋体"/>
          <w:color w:val="auto"/>
          <w:sz w:val="24"/>
          <w:lang w:val="en-US" w:eastAsia="zh-CN"/>
        </w:rPr>
        <w:t>、</w:t>
      </w:r>
      <w:r>
        <w:rPr>
          <w:rFonts w:hint="eastAsia" w:ascii="宋体" w:hAnsi="宋体" w:eastAsiaTheme="minorEastAsia"/>
          <w:color w:val="auto"/>
          <w:sz w:val="24"/>
          <w:lang w:val="en-US" w:eastAsia="zh-CN"/>
        </w:rPr>
        <w:t>第</w:t>
      </w:r>
      <w:r>
        <w:rPr>
          <w:rFonts w:hint="eastAsia" w:ascii="宋体" w:hAnsi="宋体"/>
          <w:color w:val="auto"/>
          <w:sz w:val="24"/>
          <w:lang w:val="en-US" w:eastAsia="zh-CN"/>
        </w:rPr>
        <w:t>018</w:t>
      </w:r>
      <w:r>
        <w:rPr>
          <w:rFonts w:hint="eastAsia" w:ascii="宋体" w:hAnsi="宋体" w:eastAsiaTheme="minorEastAsia"/>
          <w:color w:val="auto"/>
          <w:sz w:val="24"/>
          <w:lang w:val="en-US" w:eastAsia="zh-CN"/>
        </w:rPr>
        <w:t>号</w:t>
      </w:r>
      <w:r>
        <w:rPr>
          <w:rFonts w:hint="eastAsia" w:ascii="宋体" w:hAnsi="宋体" w:eastAsiaTheme="minorEastAsia"/>
          <w:color w:val="auto"/>
          <w:sz w:val="24"/>
          <w:lang w:eastAsia="zh-CN"/>
        </w:rPr>
        <w:t>《资产</w:t>
      </w:r>
      <w:r>
        <w:rPr>
          <w:rFonts w:hint="eastAsia" w:ascii="宋体" w:hAnsi="宋体"/>
          <w:color w:val="auto"/>
          <w:sz w:val="24"/>
          <w:lang w:eastAsia="zh-CN"/>
        </w:rPr>
        <w:t>价格</w:t>
      </w:r>
      <w:r>
        <w:rPr>
          <w:rFonts w:hint="eastAsia" w:ascii="宋体" w:hAnsi="宋体" w:eastAsiaTheme="minorEastAsia"/>
          <w:color w:val="auto"/>
          <w:sz w:val="24"/>
          <w:lang w:eastAsia="zh-CN"/>
        </w:rPr>
        <w:t>评估报告》</w:t>
      </w:r>
      <w:r>
        <w:rPr>
          <w:rFonts w:hint="eastAsia" w:ascii="宋体" w:hAnsi="宋体" w:eastAsiaTheme="minorEastAsia" w:cstheme="minorBidi"/>
          <w:color w:val="auto"/>
          <w:kern w:val="2"/>
          <w:sz w:val="24"/>
          <w:szCs w:val="22"/>
          <w:lang w:val="en-US" w:eastAsia="zh-CN" w:bidi="ar-SA"/>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竞价开始时间2026年4月30日上午9时30分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1.5分钟（即90秒）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w:t>
      </w:r>
      <w:bookmarkStart w:id="0" w:name="_GoBack"/>
      <w:r>
        <w:rPr>
          <w:rFonts w:hint="eastAsia" w:ascii="宋体" w:hAnsi="宋体" w:cs="宋体"/>
          <w:b/>
          <w:bCs/>
          <w:color w:val="auto"/>
          <w:spacing w:val="0"/>
          <w:sz w:val="24"/>
          <w:szCs w:val="24"/>
          <w:highlight w:val="none"/>
          <w:lang w:val="en-US" w:eastAsia="zh-CN"/>
        </w:rPr>
        <w:t>威海银行股份有限公司济南高新区支行</w:t>
      </w:r>
      <w:bookmarkEnd w:id="0"/>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color w:val="auto"/>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color w:val="auto"/>
          <w:sz w:val="24"/>
        </w:rPr>
        <w:t>于《资产交易合同》签订之日一次性将全部交易价款支付至山东文化产权交易所指定账户，自转让方通知进场交割之日起10日内完成标的资产的拆除、搬运及场地清理等工作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color w:val="auto"/>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color w:val="auto"/>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color w:val="auto"/>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23</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7B6256D"/>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19A10A4"/>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8635D5"/>
    <w:rsid w:val="6C904861"/>
    <w:rsid w:val="6E260382"/>
    <w:rsid w:val="6FBB7E47"/>
    <w:rsid w:val="703459F0"/>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2726</Words>
  <Characters>2819</Characters>
  <Lines>0</Lines>
  <Paragraphs>0</Paragraphs>
  <TotalTime>1</TotalTime>
  <ScaleCrop>false</ScaleCrop>
  <LinksUpToDate>false</LinksUpToDate>
  <CharactersWithSpaces>2826</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2026-04-22T02:17:12Z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