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济南大学所属报废办公家具、电子设备及帐篷、车床等资产包</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起拍价22.3232万元，保证金10万元。</w:t>
      </w:r>
    </w:p>
    <w:p w14:paraId="484FF84A">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转让标的整体处置，不可拆分。</w:t>
      </w:r>
    </w:p>
    <w:p w14:paraId="12711EE6">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b/>
          <w:bCs/>
          <w:color w:val="auto"/>
          <w:sz w:val="24"/>
          <w:lang w:eastAsia="zh-CN"/>
        </w:rPr>
        <w:t>转让标的竞价成交后的交割安排，需与转让方沟通，根据转让方要求时间进场交割，交割时间范围为春节前后。</w:t>
      </w:r>
    </w:p>
    <w:p w14:paraId="6E1EC384">
      <w:pPr>
        <w:numPr>
          <w:ilvl w:val="0"/>
          <w:numId w:val="0"/>
        </w:numPr>
        <w:ind w:firstLine="480" w:firstLineChars="200"/>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color w:val="auto"/>
          <w:sz w:val="24"/>
        </w:rPr>
        <w:t>转让标的现存放于济南市市中区七贤街道济微路106号济南大学</w:t>
      </w:r>
      <w:r>
        <w:rPr>
          <w:rFonts w:hint="eastAsia" w:ascii="宋体" w:hAnsi="宋体"/>
          <w:color w:val="auto"/>
          <w:sz w:val="24"/>
          <w:lang w:eastAsia="zh-CN"/>
        </w:rPr>
        <w:t>院内</w:t>
      </w:r>
      <w:r>
        <w:rPr>
          <w:rFonts w:hint="eastAsia" w:ascii="宋体" w:hAnsi="宋体"/>
          <w:bCs/>
          <w:color w:val="auto"/>
          <w:sz w:val="24"/>
        </w:rPr>
        <w:t>。</w:t>
      </w:r>
      <w:r>
        <w:rPr>
          <w:rFonts w:hint="eastAsia" w:ascii="宋体" w:hAnsi="宋体"/>
          <w:b/>
          <w:bCs w:val="0"/>
          <w:color w:val="auto"/>
          <w:sz w:val="24"/>
          <w:lang w:eastAsia="zh-CN"/>
        </w:rPr>
        <w:t>集中踏勘资产暂定为：信息学院的计算机类设备、后勤的帐篷、工训中心的车床。</w:t>
      </w:r>
    </w:p>
    <w:p w14:paraId="0E7D0C5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color w:val="auto"/>
          <w:sz w:val="24"/>
        </w:rPr>
        <w:t>转让标的目前处于待报废状态，标的实际情况以移交时的现状为准，转让方及交易所不对标的质量、性能、数量等提供任何保证</w:t>
      </w:r>
      <w:r>
        <w:rPr>
          <w:rFonts w:hint="eastAsia" w:ascii="宋体" w:hAnsi="宋体" w:eastAsiaTheme="minorEastAsia" w:cstheme="minorBidi"/>
          <w:color w:val="auto"/>
          <w:kern w:val="2"/>
          <w:sz w:val="24"/>
          <w:szCs w:val="22"/>
          <w:lang w:val="en-US" w:eastAsia="zh-CN" w:bidi="ar-SA"/>
        </w:rPr>
        <w:t>。</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color w:val="auto"/>
          <w:sz w:val="24"/>
        </w:rPr>
        <w:t>其他事项详见</w:t>
      </w:r>
      <w:r>
        <w:rPr>
          <w:rFonts w:hint="eastAsia" w:ascii="宋体" w:hAnsi="宋体"/>
          <w:color w:val="auto"/>
          <w:sz w:val="24"/>
          <w:lang w:eastAsia="zh-CN"/>
        </w:rPr>
        <w:t>信源评报字(2026)第010078号</w:t>
      </w:r>
      <w:r>
        <w:rPr>
          <w:rFonts w:hint="eastAsia" w:ascii="宋体" w:hAnsi="宋体"/>
          <w:color w:val="auto"/>
          <w:sz w:val="24"/>
          <w:lang w:val="en-US" w:eastAsia="zh-CN"/>
        </w:rPr>
        <w:t>《资产评估报告》</w:t>
      </w:r>
      <w:r>
        <w:rPr>
          <w:rFonts w:hint="eastAsia" w:ascii="宋体" w:hAnsi="宋体" w:eastAsiaTheme="minorEastAsia" w:cstheme="minorBidi"/>
          <w:color w:val="auto"/>
          <w:kern w:val="2"/>
          <w:sz w:val="24"/>
          <w:szCs w:val="22"/>
          <w:lang w:val="en-US" w:eastAsia="zh-CN" w:bidi="ar-SA"/>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竞价开始时间2026年1月24日上午9时30分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cs="宋体"/>
          <w:color w:val="auto"/>
          <w:spacing w:val="0"/>
          <w:sz w:val="24"/>
          <w:szCs w:val="24"/>
          <w:lang w:eastAsia="zh-CN"/>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bookmarkStart w:id="0" w:name="_GoBack"/>
      <w:bookmarkEnd w:id="0"/>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A1D10A"/>
    <w:multiLevelType w:val="singleLevel"/>
    <w:tmpl w:val="45A1D10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2819</Words>
  <Characters>2915</Characters>
  <Lines>0</Lines>
  <Paragraphs>0</Paragraphs>
  <TotalTime>0</TotalTime>
  <ScaleCrop>false</ScaleCrop>
  <LinksUpToDate>false</LinksUpToDate>
  <CharactersWithSpaces>2922</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2026-01-15T08:45:39Z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