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w:t>
      </w:r>
      <w:r>
        <w:rPr>
          <w:rFonts w:hint="eastAsia" w:ascii="宋体" w:hAnsi="宋体"/>
          <w:color w:val="auto"/>
          <w:sz w:val="24"/>
          <w:lang w:eastAsia="zh-CN"/>
        </w:rPr>
        <w:t>济南大学所属32、33公寓楼报废门窗及教室桌椅</w:t>
      </w:r>
      <w:r>
        <w:rPr>
          <w:rFonts w:hint="eastAsia" w:ascii="宋体" w:hAnsi="宋体"/>
          <w:color w:val="auto"/>
          <w:sz w:val="24"/>
        </w:rPr>
        <w:t>。</w:t>
      </w:r>
      <w:r>
        <w:rPr>
          <w:rFonts w:hint="eastAsia" w:ascii="宋体" w:hAnsi="宋体" w:cs="宋体"/>
          <w:b/>
          <w:bCs/>
          <w:color w:val="auto"/>
          <w:spacing w:val="0"/>
          <w:sz w:val="24"/>
          <w:szCs w:val="24"/>
          <w:highlight w:val="none"/>
          <w:u w:val="none"/>
          <w:lang w:val="en-US" w:eastAsia="zh-CN"/>
        </w:rPr>
        <w:t>起拍价1.7393万元，保证金2.5万元。</w:t>
      </w:r>
      <w:bookmarkStart w:id="0" w:name="_GoBack"/>
      <w:bookmarkEnd w:id="0"/>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3B38639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2.转让标的现存放于济南市市中区七贤街道济微路106号济南大学南苑学生公寓。</w:t>
      </w:r>
    </w:p>
    <w:p w14:paraId="0E7D0C5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3.转让标的目前处于待报废状态，标的实际情况以移交时的现状为准，转让方及交易所不对标的质量、性能、数量等提供任何保证。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4.其他事项详见信源评报字（2026）第010046号《资产评估报告》。</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5.本次拍卖采用网络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竞价开始时间2026年1月21日上午9时30分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cs="宋体"/>
          <w:color w:val="auto"/>
          <w:spacing w:val="0"/>
          <w:sz w:val="24"/>
          <w:szCs w:val="24"/>
          <w:lang w:eastAsia="zh-CN"/>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竞买人须承诺，在拆解、装卸、运输等过程中发生的人身伤害等一切安全事故及经济赔偿均由受让方承担，转让方不承担任何责任和费用。</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14</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2734</Words>
  <Characters>2831</Characters>
  <Lines>0</Lines>
  <Paragraphs>0</Paragraphs>
  <TotalTime>0</TotalTime>
  <ScaleCrop>false</ScaleCrop>
  <LinksUpToDate>false</LinksUpToDate>
  <CharactersWithSpaces>2838</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2026-01-13T02:39:02Z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