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SWZC25102鲁A399J6北京现代小型轿车--济南报业发展服务中心所属机动车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5047</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w:t>
      </w:r>
      <w:bookmarkStart w:id="0" w:name="_GoBack"/>
      <w:bookmarkEnd w:id="0"/>
      <w:r>
        <w:rPr>
          <w:rFonts w:hint="eastAsia" w:ascii="宋体" w:hAnsi="宋体" w:eastAsia="宋体" w:cs="宋体"/>
          <w:color w:val="000000"/>
          <w:kern w:val="0"/>
          <w:szCs w:val="21"/>
        </w:rPr>
        <w:t>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Segoe UI">
    <w:panose1 w:val="020B0502040204020203"/>
    <w:charset w:val="00"/>
    <w:family w:val="auto"/>
    <w:pitch w:val="default"/>
    <w:sig w:usb0="E10022FF" w:usb1="C000E47F" w:usb2="00000029" w:usb3="00000000" w:csb0="200001DF" w:csb1="2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45C6505"/>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1</TotalTime>
  <ScaleCrop>false</ScaleCrop>
  <LinksUpToDate>false</LinksUpToDate>
  <CharactersWithSpaces>6241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2025-12-08T02:07:14Z</cp:lastPrinted>
  <dcterms:modified xsi:type="dcterms:W3CDTF">2025-12-08T02:07:21Z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