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5DE4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default" w:ascii="宋体" w:hAnsi="宋体" w:eastAsia="宋体" w:cs="宋体"/>
          <w:b/>
          <w:bCs/>
          <w:color w:val="auto"/>
          <w:spacing w:val="0"/>
          <w:sz w:val="40"/>
          <w:szCs w:val="40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40"/>
          <w:szCs w:val="40"/>
          <w:lang w:val="en-US" w:eastAsia="zh-CN"/>
        </w:rPr>
        <w:t>拍 卖 规 则</w:t>
      </w:r>
    </w:p>
    <w:p w14:paraId="12E2C3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44BED0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一、本规则依据《中华人民共和国拍卖法》《中华人民共和国民法典》等相关法律法规和“公开、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  <w:t>公平、公正、诚实信用”原则及价高者得规则制定。</w:t>
      </w:r>
    </w:p>
    <w:p w14:paraId="6F456A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  <w:t>二、拍卖标的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简介</w:t>
      </w:r>
    </w:p>
    <w:p w14:paraId="25900E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标的1：平原县</w:t>
      </w:r>
      <w:r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琵琶湾起龙桥路西儿童娱乐区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一年期租赁权，出租面积612㎡，租期一年，详见德大正评报字[2024]第2-46号《资产评估报告》，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  <w:lang w:val="en-US" w:eastAsia="zh-CN"/>
        </w:rPr>
        <w:t>起拍价27000元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。</w:t>
      </w:r>
    </w:p>
    <w:p w14:paraId="77F942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标的2：平原县</w:t>
      </w:r>
      <w:r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南城公园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、</w:t>
      </w:r>
      <w:r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琵琶湾公园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五处</w:t>
      </w:r>
      <w:r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自动售货机占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用场地三年期租赁权，规格2㎡-5㎡/处，共五处，租期三年，详见德大正评报字[2025]第2-37号《资产评估报告》，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  <w:lang w:val="en-US" w:eastAsia="zh-CN"/>
        </w:rPr>
        <w:t>起拍价10500元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。</w:t>
      </w:r>
    </w:p>
    <w:p w14:paraId="48573B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本次拍卖采用网络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方式进行，竞买人登录资产交易网-资产交易竞价大厅（网址http://www.sdcqpm.com/）进行竞买报价。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加价幅度为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100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  <w:lang w:val="en-US" w:eastAsia="zh-CN"/>
        </w:rPr>
        <w:t>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除对底价应价外，各竞买人每次加价不得低于加价幅度。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竞价开始时间2025年12月12日上午9时30分，自由竞价时长5分钟，限时竞价时长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</w:rPr>
        <w:t>分钟（即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60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</w:rPr>
        <w:t>秒）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限时报价期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内，如出现新的有效报价，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限时报价时长刷新，重新进入60秒倒计时，直至无人出价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</w:p>
    <w:p w14:paraId="2E982A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三、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竞买人登记</w:t>
      </w:r>
    </w:p>
    <w:p w14:paraId="70194A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（一）在参加拍卖会之前，竞买人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应交纳保证金并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签署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规则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保证金金额为2000元/标的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</w:p>
    <w:p w14:paraId="78374E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）竞买人在交纳的买保证金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为竞买人参与竞买的行为保证。</w:t>
      </w:r>
    </w:p>
    <w:p w14:paraId="36660C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（三）保证金交款账户：</w:t>
      </w:r>
    </w:p>
    <w:p w14:paraId="7C7078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户名：山东国赢拍卖有限公司</w:t>
      </w:r>
    </w:p>
    <w:p w14:paraId="42A6D5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开户行：威海市商业银行股份有限公司济南高新区支行</w:t>
      </w:r>
    </w:p>
    <w:p w14:paraId="57FC6D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账号：8179 7240 1421 0092 12</w:t>
      </w:r>
    </w:p>
    <w:p w14:paraId="43F9B3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四、竞买人的声明与保证</w:t>
      </w:r>
    </w:p>
    <w:p w14:paraId="44B228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竞买人了解并遵守《拍卖法》《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民法典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》等法律法规，认真阅读了本拍卖规则，严格履行本拍卖规则的有关约定和承诺。</w:t>
      </w:r>
    </w:p>
    <w:p w14:paraId="35BB96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须承诺，在公告期间已自行对标的进行了全面了解，一经递交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拍卖规则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并交纳保证金后，即表明理解并接受本次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项目拍卖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的所有内容及程序，完全了解与认可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标的状况以及存在的瑕疵等一切内容，并自行承担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标的所带来的一切风险和后果；成为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后不得以不了解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标的为由退还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标的，否则将视为违约；非因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出租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方原因所引发的风险因素，由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 xml:space="preserve">自行承担。 </w:t>
      </w:r>
    </w:p>
    <w:p w14:paraId="0E3ADC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须承诺，在被确定为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后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个工作日内与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出租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方签署《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租赁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合同》，自《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租赁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合同》签订之日起5个工作日内，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按照合同约定交纳租金至出租方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指定账户。</w:t>
      </w:r>
    </w:p>
    <w:p w14:paraId="357E3E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须承诺，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该标的以承租方的名义开展经营活动，经营过程中的相关证照由承租方自行申请签发，一切违法、违规经营生产导致的责任由承租方自行承担。承租标的不得用于存放危险品等具有安全隐患的项目，同时承租方须负责承租标的的安防、卫生等问题。</w:t>
      </w:r>
    </w:p>
    <w:p w14:paraId="306FBF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四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竞买人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须承诺，如因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不可抗力因素导致租赁期限提前结束，例如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国家相关部门征收或征用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等情况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出租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方可无条件收回拍卖土地使用权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或租赁权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且不需承担违约责任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具体由出租方和承租方协商解决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</w:p>
    <w:p w14:paraId="2DE243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五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）竞买人须承诺，按照国家法律法规要求对标的物进行使用和处理。</w:t>
      </w:r>
    </w:p>
    <w:p w14:paraId="268222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）竞买人须承诺，成交竞买人（即买受人）的佣金在保证金中扣除，若保证金不足以抵扣佣金，买受人应当补足差额。</w:t>
      </w:r>
    </w:p>
    <w:p w14:paraId="276360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五、瑕疵声明</w:t>
      </w:r>
    </w:p>
    <w:p w14:paraId="19D2EC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（一）拍卖人及工作人员对拍卖标的所作的介绍是对拍卖标的概括性描述，不构成对拍卖标的的任何担保。竞买人应自行认定拍卖标的有关材料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真实性并对自己的行为负责。拍卖人有权于拍卖会前修订《拍卖规则》。</w:t>
      </w:r>
    </w:p>
    <w:p w14:paraId="45C216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（二）标的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均按现场展示的状况及状态进行现状转让和交接，转让方对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标的资产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所作出的说明及相关资料均是对标的所作的参考性说明，不作为转让方对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标的资产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品质的任何担保，也不作为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标的资产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现状的法律依据和标的移交的凭据。本拍卖人不保证委托的标的不存在其他瑕疵，竞买人应认真、审慎地了解标的的实际情况、瑕疵及可能存在的瑕疵。竞买人竞价应谨慎，一经参拍，即表示自愿承担本次拍卖会拍卖标的的所有瑕疵责任，并自愿接受标的现状。</w:t>
      </w:r>
    </w:p>
    <w:p w14:paraId="68C02D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（三）本次拍卖标的成交价不包括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交易费用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及其他费用。</w:t>
      </w:r>
    </w:p>
    <w:p w14:paraId="1840DE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、拍卖成交后，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当日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与拍卖人签订《拍卖成交确认书》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未成交竞买人的保证金本公司将在5个工作日内无息退还。</w:t>
      </w:r>
    </w:p>
    <w:p w14:paraId="609465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七、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拍卖成交后</w:t>
      </w:r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，买受人应向本公司支付服务费，服务费为成交价的5%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(不足500元按500元计收)。</w:t>
      </w:r>
    </w:p>
    <w:p w14:paraId="14E4CF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八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t>、本拍卖人不负责该项目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产权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t>的移交、监交工作。</w:t>
      </w:r>
    </w:p>
    <w:p w14:paraId="47620B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九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、如买受人有下列行为之一的，即构成违约。买受人违约的，竞买保证金不予退还，买受人不得参与本标的的再行拍卖。本拍卖标的再行拍卖，原买受人应当支付第一次拍卖中本人及委托人应当支付的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交易费用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。再行拍卖的成交价低于原拍卖成交价的，原买受人应当补足差额。同时，拍卖人有权对未按本规则履行约定义务的买受人诉诸法律，要求其履行约定义务，并赔偿拍卖人因其违约造成的一切损失。</w:t>
      </w:r>
    </w:p>
    <w:p w14:paraId="56702C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（一）买受人提供虚假、失实材料的；</w:t>
      </w:r>
    </w:p>
    <w:p w14:paraId="3D0973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（二）买受人串通或干扰其他竞买人公平竞争等扰乱正常秩序的；</w:t>
      </w:r>
    </w:p>
    <w:p w14:paraId="744AB0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（三）买受人拒绝在《拍卖成交确认书》上签字的；</w:t>
      </w:r>
    </w:p>
    <w:p w14:paraId="2391FF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（四）买受人拒绝或逾期签署《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交易合同》的；</w:t>
      </w:r>
    </w:p>
    <w:p w14:paraId="065CCF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（五）买受人在规定期限内不办理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产权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交割等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有关手续的；</w:t>
      </w:r>
    </w:p>
    <w:p w14:paraId="6BB553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）买受人逾期未履行相应付款义务的。</w:t>
      </w:r>
    </w:p>
    <w:p w14:paraId="096931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、本次拍卖采用网络竞价方式。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通过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“资产交易网-资产交易竞价大厅（网址http://www.sdcqpm.com/）”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竞价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。竞买人应于竞价前注册完毕网络竞价账号。</w:t>
      </w:r>
    </w:p>
    <w:p w14:paraId="5C9B84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（1）竞买人应自行注册网络拍卖账号。</w:t>
      </w:r>
    </w:p>
    <w:p w14:paraId="7D44C2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2）网络竞价过程中，如遇不可抗力，包括但不限于网络不通畅、竞价系统出现故障、黑客攻击等事由，出现信息中断、竞价时间不完整、图文变异、系统瘫痪、竞买人无法在网上出价等情形，导致拍卖会无法正常进行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权延迟、暂停或另行举行拍卖会。若拍卖记录可以恢复的，重新启动竞价后，起始价为网络中断时的最高有效报价；若竞价记录无法恢复的，底价为标的起始价。如竞买人自身操作问题导致无法参加竞价的，由竞买人自行负责。通过资产拍卖竞价系统进行网络竞价的竞买人，承诺已经对可能发生的故障有充分准备，并放弃因此类故障要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承担任何赔偿责任。</w:t>
      </w:r>
    </w:p>
    <w:p w14:paraId="3C1FC9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3）竞买人应对自己的账号和密码进行保密，在本系统上以竞买人的帐号和密码登录后进行的操作，均被视为竞买人的行为，竞买人应当对以其帐号进行的所有活动和事件负法律责任。竞买人报价金额的币种仅限为人民币，报价前须仔细核对报价金额及单位，确认无误后方可出价。竞买人报价一经确认，竞价系统均有记录，不得撤回或撤销。竞买人不得扰乱竞价秩序，更不得恶意串通，影响或操纵其他竞买人竞价，如有发现将取消其竞买资格，没收竞买保证金，并追究其相应的法律责任。</w:t>
      </w:r>
    </w:p>
    <w:p w14:paraId="661DB2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十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、竞买人一经在本文件上签字即表明同意遵循本规则之规定，并对自己竞买行为负责，不得影响他人竞买秩序。</w:t>
      </w:r>
    </w:p>
    <w:p w14:paraId="5C4720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十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、本《拍卖规则》复印件、扫描件与原价具有同样法律效力。</w:t>
      </w:r>
    </w:p>
    <w:p w14:paraId="0DDA45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33173178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0C5C94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03B8F2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山东国赢拍卖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有限公司</w:t>
      </w:r>
    </w:p>
    <w:p w14:paraId="2C3D10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 xml:space="preserve">   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2025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5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日</w:t>
      </w:r>
    </w:p>
    <w:p w14:paraId="1A528E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6DFB61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69254F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竞买人已被告知并完全接受上述《拍卖规则》之规定。</w:t>
      </w:r>
    </w:p>
    <w:p w14:paraId="438806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420C06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竞买人（盖章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签字）：</w:t>
      </w:r>
    </w:p>
    <w:p w14:paraId="614213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</w:p>
    <w:p w14:paraId="7AC554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联系电话：</w:t>
      </w:r>
    </w:p>
    <w:sectPr>
      <w:footerReference r:id="rId3" w:type="default"/>
      <w:footerReference r:id="rId4" w:type="even"/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7079C0">
    <w:pPr>
      <w:pStyle w:val="4"/>
      <w:framePr w:wrap="around" w:vAnchor="text" w:hAnchor="margin" w:xAlign="center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separate"/>
    </w:r>
    <w:r>
      <w:rPr>
        <w:rStyle w:val="8"/>
      </w:rPr>
      <w:t>2</w:t>
    </w:r>
    <w:r>
      <w:fldChar w:fldCharType="end"/>
    </w:r>
  </w:p>
  <w:p w14:paraId="62BD5981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01AE8D">
    <w:pPr>
      <w:pStyle w:val="4"/>
      <w:framePr w:wrap="around" w:vAnchor="text" w:hAnchor="margin" w:xAlign="center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end"/>
    </w:r>
  </w:p>
  <w:p w14:paraId="0550AF35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Q4NGM3NjE2ZWJlZjliYTY3ZWRmNGM1YWZhZTJlOTUifQ=="/>
    <w:docVar w:name="KSO_WPS_MARK_KEY" w:val="bf90f2b4-d2a1-411c-9945-bc66d48c6ae7"/>
  </w:docVars>
  <w:rsids>
    <w:rsidRoot w:val="52376143"/>
    <w:rsid w:val="040F3E66"/>
    <w:rsid w:val="09326E25"/>
    <w:rsid w:val="0AA277E2"/>
    <w:rsid w:val="0C697DB0"/>
    <w:rsid w:val="0D6C317E"/>
    <w:rsid w:val="13E961F5"/>
    <w:rsid w:val="152C0D1B"/>
    <w:rsid w:val="160034F2"/>
    <w:rsid w:val="1B285AE1"/>
    <w:rsid w:val="1D7E7C3A"/>
    <w:rsid w:val="1E854FF8"/>
    <w:rsid w:val="246F68C9"/>
    <w:rsid w:val="2D9E4B7C"/>
    <w:rsid w:val="302D37F7"/>
    <w:rsid w:val="305840C7"/>
    <w:rsid w:val="30FC03BB"/>
    <w:rsid w:val="3A7E5F09"/>
    <w:rsid w:val="3F383D76"/>
    <w:rsid w:val="40EB42EC"/>
    <w:rsid w:val="42FD549F"/>
    <w:rsid w:val="4872256F"/>
    <w:rsid w:val="4CD37998"/>
    <w:rsid w:val="4D902EEE"/>
    <w:rsid w:val="51D90E94"/>
    <w:rsid w:val="52376143"/>
    <w:rsid w:val="56AA23A1"/>
    <w:rsid w:val="577E200A"/>
    <w:rsid w:val="5D990B42"/>
    <w:rsid w:val="5EFD5F0A"/>
    <w:rsid w:val="6543295E"/>
    <w:rsid w:val="6ACD70D8"/>
    <w:rsid w:val="6B71426E"/>
    <w:rsid w:val="6B8F100B"/>
    <w:rsid w:val="6CF84CE5"/>
    <w:rsid w:val="6D3F0039"/>
    <w:rsid w:val="6FBB7E47"/>
    <w:rsid w:val="75F867B7"/>
    <w:rsid w:val="77502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00" w:after="200" w:line="360" w:lineRule="auto"/>
      <w:ind w:firstLine="880"/>
      <w:outlineLvl w:val="1"/>
    </w:pPr>
    <w:rPr>
      <w:rFonts w:ascii="Cambria" w:hAnsi="Cambria" w:eastAsia="宋体"/>
      <w:b/>
      <w:bCs/>
      <w:kern w:val="0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afterLines="0" w:afterAutospacing="0" w:line="480" w:lineRule="auto"/>
      <w:ind w:left="420" w:left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page number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2790</Words>
  <Characters>2945</Characters>
  <Lines>0</Lines>
  <Paragraphs>0</Paragraphs>
  <TotalTime>0</TotalTime>
  <ScaleCrop>false</ScaleCrop>
  <LinksUpToDate>false</LinksUpToDate>
  <CharactersWithSpaces>2955</CharactersWithSpaces>
  <Application>WPS Office_12.1.0.23539_F1E327BC-269C-435d-A152-05C5408002CA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2024-12-09T06:26:00Z</dcterms:created>
  <dc:creator>极致者不凡</dc:creator>
  <cp:lastModifiedBy>任超</cp:lastModifiedBy>
  <cp:lastPrinted>2025-04-22T01:28:00Z</cp:lastPrinted>
  <dcterms:modified xsi:type="dcterms:W3CDTF">2025-12-04T05:51:37Z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2052-12.1.0.23539</vt:lpwstr>
  </property>
  <property fmtid="{D5CDD505-2E9C-101B-9397-08002B2CF9AE}" pid="3" name="ICV">
    <vt:lpwstr>85CFE9D4035344089CC0ED4ACBE49631_11</vt:lpwstr>
  </property>
  <property fmtid="{D5CDD505-2E9C-101B-9397-08002B2CF9AE}" pid="4" name="KSOTemplateDocerSaveRecord">
    <vt:lpwstr>eyJoZGlkIjoiNGQ4NGM3NjE2ZWJlZjliYTY3ZWRmNGM1YWZhZTJlOTUiLCJ1c2VySWQiOiIxNDc2NzA3OTAwIn0=</vt:lpwstr>
  </property>
</Properties>
</file>