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中泰汇融资本投资有限公司所属办公家具等资产包。本项目共分为38个子标的，按顺序拍卖，增价幅度：10元</w:t>
      </w:r>
      <w:r>
        <w:rPr>
          <w:rFonts w:hint="eastAsia" w:ascii="宋体" w:hAnsi="宋体" w:cs="宋体"/>
          <w:color w:val="auto"/>
          <w:spacing w:val="0"/>
          <w:sz w:val="24"/>
          <w:szCs w:val="24"/>
          <w:u w:val="none"/>
          <w:lang w:val="en-US" w:eastAsia="zh-CN"/>
        </w:rPr>
        <w:t>/标的</w:t>
      </w:r>
      <w:r>
        <w:rPr>
          <w:rFonts w:hint="eastAsia" w:ascii="宋体" w:hAnsi="宋体" w:eastAsia="宋体" w:cs="宋体"/>
          <w:color w:val="auto"/>
          <w:spacing w:val="0"/>
          <w:sz w:val="24"/>
          <w:szCs w:val="24"/>
          <w:u w:val="none"/>
          <w:lang w:val="en-US" w:eastAsia="zh-CN"/>
        </w:rPr>
        <w:t>。拍卖清单详见公告附件。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方式进行，竞买人登录资产交易网-资产交易竞价大厅（网址http://www.sdcqpm.com/）进行竞买报价。除对底价应价外，各竞买人每次加价不得低于加价幅度。</w:t>
      </w:r>
      <w:r>
        <w:rPr>
          <w:rFonts w:hint="eastAsia" w:ascii="宋体" w:hAnsi="宋体" w:cs="宋体"/>
          <w:color w:val="auto"/>
          <w:spacing w:val="0"/>
          <w:sz w:val="24"/>
          <w:szCs w:val="24"/>
          <w:lang w:val="en-US" w:eastAsia="zh-CN"/>
        </w:rPr>
        <w:t>竞价过程由多个连续报价周期组成，每个报价周期为1分钟（即60秒）。在每个报价周期内，如出现新的有效报价，则进入新的报价周期；在一个报价周期内如未出现新的有效报价，则当前有效报价方成为本次拍卖活动的买受人。标的1竞价结束后，标的2开始竞价，以此类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保证金金额为500元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服务费</w:t>
      </w:r>
      <w:r>
        <w:rPr>
          <w:rFonts w:hint="eastAsia" w:ascii="宋体" w:hAnsi="宋体" w:eastAsia="宋体" w:cs="宋体"/>
          <w:color w:val="auto"/>
          <w:spacing w:val="0"/>
          <w:sz w:val="24"/>
          <w:szCs w:val="24"/>
        </w:rPr>
        <w:t>一次性支付至山东国赢拍卖有限公司指定账户。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pacing w:val="0"/>
          <w:sz w:val="24"/>
          <w:szCs w:val="24"/>
        </w:rPr>
      </w:pPr>
      <w:r>
        <w:rPr>
          <w:rFonts w:hint="eastAsia" w:ascii="宋体" w:hAnsi="宋体" w:cs="宋体"/>
          <w:b/>
          <w:bCs/>
          <w:color w:val="auto"/>
          <w:spacing w:val="0"/>
          <w:sz w:val="24"/>
          <w:szCs w:val="24"/>
          <w:lang w:eastAsia="zh-CN"/>
        </w:rPr>
        <w:t>（</w:t>
      </w:r>
      <w:r>
        <w:rPr>
          <w:rFonts w:hint="eastAsia" w:ascii="宋体" w:hAnsi="宋体" w:cs="宋体"/>
          <w:b/>
          <w:bCs/>
          <w:color w:val="auto"/>
          <w:spacing w:val="0"/>
          <w:sz w:val="24"/>
          <w:szCs w:val="24"/>
          <w:lang w:val="en-US" w:eastAsia="zh-CN"/>
        </w:rPr>
        <w:t>四</w:t>
      </w:r>
      <w:r>
        <w:rPr>
          <w:rFonts w:hint="eastAsia" w:ascii="宋体" w:hAnsi="宋体" w:cs="宋体"/>
          <w:b/>
          <w:bCs/>
          <w:color w:val="auto"/>
          <w:spacing w:val="0"/>
          <w:sz w:val="24"/>
          <w:szCs w:val="24"/>
          <w:lang w:eastAsia="zh-CN"/>
        </w:rPr>
        <w:t>）</w:t>
      </w:r>
      <w:r>
        <w:rPr>
          <w:rFonts w:hint="eastAsia" w:ascii="宋体" w:hAnsi="宋体" w:eastAsia="宋体" w:cs="宋体"/>
          <w:b/>
          <w:bCs/>
          <w:color w:val="auto"/>
          <w:spacing w:val="0"/>
          <w:sz w:val="24"/>
          <w:szCs w:val="24"/>
        </w:rPr>
        <w:t>其他事项详见</w:t>
      </w:r>
      <w:r>
        <w:rPr>
          <w:rFonts w:hint="eastAsia" w:ascii="宋体" w:hAnsi="宋体"/>
          <w:b/>
          <w:bCs/>
          <w:color w:val="auto"/>
          <w:sz w:val="24"/>
          <w:lang w:val="en-US" w:eastAsia="zh-CN"/>
        </w:rPr>
        <w:t>鲁卓信评报字[2025]第1084号《资产评估报告》</w:t>
      </w:r>
      <w:r>
        <w:rPr>
          <w:rFonts w:hint="eastAsia" w:ascii="宋体" w:hAnsi="宋体" w:eastAsia="宋体" w:cs="宋体"/>
          <w:b/>
          <w:bCs/>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w:t>
      </w:r>
      <w:bookmarkStart w:id="0" w:name="_GoBack"/>
      <w:bookmarkEnd w:id="0"/>
      <w:r>
        <w:rPr>
          <w:rFonts w:hint="eastAsia" w:ascii="宋体" w:hAnsi="宋体" w:eastAsia="宋体" w:cs="宋体"/>
          <w:color w:val="auto"/>
          <w:spacing w:val="0"/>
          <w:sz w:val="24"/>
          <w:szCs w:val="24"/>
        </w:rPr>
        <w:t>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28</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52"/>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40F3E66"/>
    <w:rsid w:val="0478637A"/>
    <w:rsid w:val="0AA277E2"/>
    <w:rsid w:val="0C697DB0"/>
    <w:rsid w:val="0D6C317E"/>
    <w:rsid w:val="0ECD0649"/>
    <w:rsid w:val="13E961F5"/>
    <w:rsid w:val="152C0D1B"/>
    <w:rsid w:val="1B285AE1"/>
    <w:rsid w:val="1D7E7C3A"/>
    <w:rsid w:val="1E854FF8"/>
    <w:rsid w:val="246F68C9"/>
    <w:rsid w:val="2C7F4FF3"/>
    <w:rsid w:val="2DB01AB8"/>
    <w:rsid w:val="305840C7"/>
    <w:rsid w:val="30D50061"/>
    <w:rsid w:val="30FC03BB"/>
    <w:rsid w:val="35827407"/>
    <w:rsid w:val="3F383D76"/>
    <w:rsid w:val="40EB42EC"/>
    <w:rsid w:val="471825FE"/>
    <w:rsid w:val="4872256F"/>
    <w:rsid w:val="493D2DEC"/>
    <w:rsid w:val="4D902EEE"/>
    <w:rsid w:val="52376143"/>
    <w:rsid w:val="551E4B71"/>
    <w:rsid w:val="56AA23A1"/>
    <w:rsid w:val="56ED315F"/>
    <w:rsid w:val="577E200A"/>
    <w:rsid w:val="5D990B42"/>
    <w:rsid w:val="5DD76917"/>
    <w:rsid w:val="5EFD5F0A"/>
    <w:rsid w:val="61954B1F"/>
    <w:rsid w:val="67013895"/>
    <w:rsid w:val="6ACD70D8"/>
    <w:rsid w:val="6B71426E"/>
    <w:rsid w:val="6C496C32"/>
    <w:rsid w:val="6D3F0039"/>
    <w:rsid w:val="6FBB7E47"/>
    <w:rsid w:val="75F867B7"/>
    <w:rsid w:val="77502AC7"/>
    <w:rsid w:val="7CC722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2901</Words>
  <Characters>2979</Characters>
  <Lines>0</Lines>
  <Paragraphs>0</Paragraphs>
  <TotalTime>47</TotalTime>
  <ScaleCrop>false</ScaleCrop>
  <LinksUpToDate>false</LinksUpToDate>
  <CharactersWithSpaces>3036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cp:lastPrinted>2025-04-22T01:28:00Z</cp:lastPrinted>
  <dcterms:modified xsi:type="dcterms:W3CDTF">2025-07-25T06:49:55Z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