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3BC3DD9">
      <w:pPr>
        <w:widowControl/>
        <w:snapToGrid w:val="0"/>
        <w:spacing w:line="560" w:lineRule="exact"/>
        <w:ind w:left="-283" w:leftChars="-135" w:right="-199" w:rightChars="-95" w:firstLine="280" w:firstLineChars="78"/>
        <w:jc w:val="center"/>
        <w:rPr>
          <w:rFonts w:ascii="方正小标宋简体" w:eastAsia="方正小标宋简体" w:cs="微软简标宋"/>
          <w:bCs/>
          <w:sz w:val="36"/>
          <w:szCs w:val="36"/>
        </w:rPr>
      </w:pPr>
      <w:r>
        <w:rPr>
          <w:rFonts w:hint="eastAsia" w:ascii="方正小标宋简体" w:eastAsia="方正小标宋简体" w:cs="微软简标宋"/>
          <w:bCs/>
          <w:sz w:val="36"/>
          <w:szCs w:val="36"/>
        </w:rPr>
        <w:t>承诺函</w:t>
      </w:r>
    </w:p>
    <w:p w14:paraId="7CEE900D">
      <w:pPr>
        <w:widowControl/>
        <w:snapToGrid w:val="0"/>
        <w:spacing w:line="320" w:lineRule="exact"/>
        <w:ind w:right="-199" w:rightChars="-95" w:firstLine="164" w:firstLineChars="78"/>
        <w:jc w:val="left"/>
        <w:rPr>
          <w:rFonts w:ascii="宋体" w:hAnsi="宋体" w:eastAsia="宋体" w:cs="Times New Roman"/>
          <w:b/>
          <w:color w:val="000000"/>
          <w:kern w:val="0"/>
          <w:szCs w:val="21"/>
        </w:rPr>
      </w:pPr>
      <w:r>
        <w:rPr>
          <w:rFonts w:hint="eastAsia" w:ascii="宋体" w:hAnsi="宋体" w:eastAsia="宋体" w:cs="Times New Roman"/>
          <w:b/>
          <w:color w:val="000000"/>
          <w:kern w:val="0"/>
          <w:szCs w:val="21"/>
        </w:rPr>
        <w:t>特别提示：该《承诺函》仅适用于交易方式为网络竞价（含动态报价）的资产转让项目。</w:t>
      </w:r>
    </w:p>
    <w:p w14:paraId="04EE1EAB">
      <w:pPr>
        <w:widowControl/>
        <w:snapToGrid w:val="0"/>
        <w:spacing w:line="320" w:lineRule="exact"/>
        <w:ind w:right="-199" w:rightChars="-95" w:firstLine="164" w:firstLineChars="78"/>
        <w:jc w:val="left"/>
        <w:rPr>
          <w:rFonts w:ascii="宋体" w:hAnsi="宋体" w:eastAsia="宋体" w:cs="Times New Roman"/>
          <w:b/>
          <w:color w:val="000000"/>
          <w:kern w:val="0"/>
          <w:szCs w:val="21"/>
        </w:rPr>
      </w:pPr>
    </w:p>
    <w:p w14:paraId="7C94585E">
      <w:pPr>
        <w:widowControl/>
        <w:spacing w:line="320" w:lineRule="exact"/>
        <w:ind w:right="-199" w:rightChars="-95" w:firstLine="163" w:firstLineChars="78"/>
        <w:rPr>
          <w:rFonts w:hint="eastAsia"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山东文化产权交易所（以下简称“交易所”）：</w:t>
      </w:r>
    </w:p>
    <w:p w14:paraId="3215ABAF">
      <w:pPr>
        <w:widowControl/>
        <w:spacing w:line="320" w:lineRule="exact"/>
        <w:ind w:right="-199" w:rightChars="-95" w:firstLine="579" w:firstLineChars="276"/>
        <w:rPr>
          <w:rFonts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我方提出参与受</w:t>
      </w:r>
      <w:r>
        <w:rPr>
          <w:rFonts w:hint="eastAsia" w:cs="宋体" w:asciiTheme="minorEastAsia" w:hAnsiTheme="minorEastAsia"/>
          <w:color w:val="000000" w:themeColor="text1"/>
          <w:kern w:val="0"/>
          <w:szCs w:val="21"/>
          <w:lang w:val="en-US" w:eastAsia="zh-CN"/>
          <w14:textFill>
            <w14:solidFill>
              <w14:schemeClr w14:val="tx1"/>
            </w14:solidFill>
          </w14:textFill>
        </w:rPr>
        <w:t>让</w:t>
      </w:r>
      <w:r>
        <w:rPr>
          <w:rFonts w:hint="eastAsia" w:cs="宋体" w:asciiTheme="minorEastAsia" w:hAnsiTheme="minorEastAsia"/>
          <w:color w:val="000000" w:themeColor="text1"/>
          <w:kern w:val="0"/>
          <w:szCs w:val="21"/>
          <w:u w:val="single"/>
          <w:lang w:val="en-US" w:eastAsia="zh-CN"/>
          <w14:textFill>
            <w14:solidFill>
              <w14:schemeClr w14:val="tx1"/>
            </w14:solidFill>
          </w14:textFill>
        </w:rPr>
        <w:t xml:space="preserve"> 山东黄三角早报社有限公司所属44台报废商用显示终端机</w:t>
      </w:r>
      <w:bookmarkStart w:id="0" w:name="_GoBack"/>
      <w:bookmarkEnd w:id="0"/>
      <w:r>
        <w:rPr>
          <w:rFonts w:hint="eastAsia" w:cs="宋体" w:asciiTheme="minorEastAsia" w:hAnsiTheme="minorEastAsia"/>
          <w:color w:val="000000" w:themeColor="text1"/>
          <w:kern w:val="0"/>
          <w:szCs w:val="21"/>
          <w:u w:val="single"/>
          <w:lang w:val="en-US" w:eastAsia="zh-CN"/>
          <w14:textFill>
            <w14:solidFill>
              <w14:schemeClr w14:val="tx1"/>
            </w14:solidFill>
          </w14:textFill>
        </w:rPr>
        <w:t xml:space="preserve"> </w:t>
      </w:r>
      <w:r>
        <w:rPr>
          <w:rFonts w:hint="eastAsia" w:cs="宋体" w:asciiTheme="minorEastAsia" w:hAnsiTheme="minorEastAsia"/>
          <w:color w:val="000000" w:themeColor="text1"/>
          <w:kern w:val="0"/>
          <w:szCs w:val="21"/>
          <w14:textFill>
            <w14:solidFill>
              <w14:schemeClr w14:val="tx1"/>
            </w14:solidFill>
          </w14:textFill>
        </w:rPr>
        <w:t>项目（项目编号：SWZC2</w:t>
      </w:r>
      <w:r>
        <w:rPr>
          <w:rFonts w:hint="eastAsia" w:cs="宋体" w:asciiTheme="minorEastAsia" w:hAnsiTheme="minorEastAsia"/>
          <w:color w:val="000000" w:themeColor="text1"/>
          <w:kern w:val="0"/>
          <w:szCs w:val="21"/>
          <w:lang w:val="en-US" w:eastAsia="zh-CN"/>
          <w14:textFill>
            <w14:solidFill>
              <w14:schemeClr w14:val="tx1"/>
            </w14:solidFill>
          </w14:textFill>
        </w:rPr>
        <w:t>5047</w:t>
      </w:r>
      <w:r>
        <w:rPr>
          <w:rFonts w:hint="eastAsia" w:cs="宋体" w:asciiTheme="minorEastAsia" w:hAnsiTheme="minorEastAsia"/>
          <w:color w:val="000000" w:themeColor="text1"/>
          <w:kern w:val="0"/>
          <w:szCs w:val="21"/>
          <w14:textFill>
            <w14:solidFill>
              <w14:schemeClr w14:val="tx1"/>
            </w14:solidFill>
          </w14:textFill>
        </w:rPr>
        <w:t xml:space="preserve">）的申请，现依照诚实守信的原则，就参与本项目网络竞价（含动态报价）活动做出如下承诺： </w:t>
      </w:r>
      <w:r>
        <w:rPr>
          <w:rFonts w:cs="宋体" w:asciiTheme="minorEastAsia" w:hAnsiTheme="minorEastAsia"/>
          <w:color w:val="000000" w:themeColor="text1"/>
          <w:kern w:val="0"/>
          <w:szCs w:val="21"/>
          <w14:textFill>
            <w14:solidFill>
              <w14:schemeClr w14:val="tx1"/>
            </w14:solidFill>
          </w14:textFill>
        </w:rPr>
        <w:t xml:space="preserve">  </w:t>
      </w:r>
    </w:p>
    <w:p w14:paraId="58165AFB">
      <w:pPr>
        <w:adjustRightInd w:val="0"/>
        <w:snapToGrid w:val="0"/>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一、我方已仔细阅读并自愿遵守</w:t>
      </w:r>
      <w:r>
        <w:rPr>
          <w:rFonts w:hint="eastAsia" w:ascii="宋体" w:hAnsi="宋体" w:eastAsia="宋体" w:cs="宋体"/>
          <w:color w:val="000000"/>
          <w:kern w:val="0"/>
          <w:szCs w:val="21"/>
        </w:rPr>
        <w:t>《</w:t>
      </w:r>
      <w:r>
        <w:rPr>
          <w:rFonts w:ascii="宋体" w:hAnsi="宋体" w:eastAsia="宋体" w:cs="宋体"/>
          <w:sz w:val="21"/>
          <w:szCs w:val="22"/>
        </w:rPr>
        <w:t>山东</w:t>
      </w:r>
      <w:r>
        <w:rPr>
          <w:rFonts w:hint="eastAsia" w:ascii="宋体" w:hAnsi="宋体" w:eastAsia="宋体" w:cs="宋体"/>
          <w:sz w:val="21"/>
          <w:szCs w:val="22"/>
        </w:rPr>
        <w:t>文化产权交易所</w:t>
      </w:r>
      <w:r>
        <w:rPr>
          <w:rFonts w:hint="eastAsia" w:ascii="宋体" w:hAnsi="宋体" w:eastAsia="宋体" w:cs="宋体"/>
          <w:color w:val="000000"/>
          <w:kern w:val="0"/>
          <w:szCs w:val="21"/>
        </w:rPr>
        <w:t>资产交易规则》以及</w:t>
      </w:r>
      <w:r>
        <w:rPr>
          <w:rFonts w:hint="eastAsia" w:cs="宋体" w:asciiTheme="minorEastAsia" w:hAnsiTheme="minorEastAsia"/>
          <w:kern w:val="0"/>
          <w:szCs w:val="21"/>
        </w:rPr>
        <w:t>本项目《交易须知》（以下简称“《须知》”），接受</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采取网络竞价（含动态报价）方式组织本次交易，对网络竞价（含动态报价）的交易方式和规则已全面了解，自愿遵守本项目《须知》等文件的相关约定，参加本项目网络竞价（含动态报价）活动，并参与报价程序，承诺本次受让申请及在网络竞价（动态报价）系统中的一切行为均代表我方的真实意思表示。</w:t>
      </w:r>
    </w:p>
    <w:p w14:paraId="7F461E43">
      <w:pPr>
        <w:widowControl/>
        <w:adjustRightInd w:val="0"/>
        <w:snapToGrid w:val="0"/>
        <w:spacing w:line="320" w:lineRule="exact"/>
        <w:ind w:right="-199" w:rightChars="-95" w:firstLine="420" w:firstLineChars="200"/>
        <w:rPr>
          <w:rFonts w:hint="eastAsia" w:cs="宋体" w:asciiTheme="minorEastAsia" w:hAnsiTheme="minorEastAsia"/>
          <w:color w:val="auto"/>
          <w:kern w:val="0"/>
          <w:szCs w:val="21"/>
        </w:rPr>
      </w:pPr>
      <w:r>
        <w:rPr>
          <w:rFonts w:hint="eastAsia" w:cs="宋体" w:asciiTheme="minorEastAsia" w:hAnsiTheme="minorEastAsia"/>
          <w:kern w:val="0"/>
          <w:szCs w:val="21"/>
        </w:rPr>
        <w:t>二、我方愿意以不低于挂牌价购买在</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公开挂牌转让的本项目，承诺提交报名即视为以挂牌价出价</w:t>
      </w:r>
      <w:r>
        <w:rPr>
          <w:rFonts w:hint="eastAsia" w:cs="宋体" w:asciiTheme="minorEastAsia" w:hAnsiTheme="minorEastAsia"/>
          <w:kern w:val="0"/>
          <w:szCs w:val="21"/>
          <w:lang w:eastAsia="zh-CN"/>
        </w:rPr>
        <w:t>；</w:t>
      </w:r>
      <w:r>
        <w:rPr>
          <w:rFonts w:hint="eastAsia" w:cs="宋体" w:asciiTheme="minorEastAsia" w:hAnsiTheme="minorEastAsia"/>
          <w:color w:val="auto"/>
          <w:kern w:val="0"/>
          <w:szCs w:val="21"/>
        </w:rPr>
        <w:t>如所有竞买人均未报价</w:t>
      </w:r>
      <w:r>
        <w:rPr>
          <w:rFonts w:hint="eastAsia" w:cs="宋体" w:asciiTheme="minorEastAsia" w:hAnsiTheme="minorEastAsia"/>
          <w:color w:val="auto"/>
          <w:kern w:val="0"/>
          <w:szCs w:val="21"/>
          <w:lang w:eastAsia="zh-CN"/>
        </w:rPr>
        <w:t>的</w:t>
      </w:r>
      <w:r>
        <w:rPr>
          <w:rFonts w:hint="eastAsia" w:cs="宋体" w:asciiTheme="minorEastAsia" w:hAnsiTheme="minorEastAsia"/>
          <w:color w:val="auto"/>
          <w:kern w:val="0"/>
          <w:szCs w:val="21"/>
        </w:rPr>
        <w:t>，</w:t>
      </w:r>
      <w:r>
        <w:rPr>
          <w:rFonts w:hint="eastAsia" w:cs="宋体" w:asciiTheme="minorEastAsia" w:hAnsiTheme="minorEastAsia"/>
          <w:color w:val="auto"/>
          <w:kern w:val="0"/>
          <w:szCs w:val="21"/>
          <w:lang w:eastAsia="zh-CN"/>
        </w:rPr>
        <w:t>保证金到账</w:t>
      </w:r>
      <w:r>
        <w:rPr>
          <w:rFonts w:hint="eastAsia" w:cs="宋体" w:asciiTheme="minorEastAsia" w:hAnsiTheme="minorEastAsia"/>
          <w:color w:val="auto"/>
          <w:kern w:val="0"/>
          <w:szCs w:val="21"/>
          <w:lang w:val="en-US" w:eastAsia="zh-CN"/>
        </w:rPr>
        <w:t>最早的</w:t>
      </w:r>
      <w:r>
        <w:rPr>
          <w:rFonts w:hint="eastAsia" w:cs="宋体" w:asciiTheme="minorEastAsia" w:hAnsiTheme="minorEastAsia"/>
          <w:color w:val="auto"/>
          <w:kern w:val="0"/>
          <w:szCs w:val="21"/>
          <w:lang w:eastAsia="zh-CN"/>
        </w:rPr>
        <w:t>通过资格审核的意向</w:t>
      </w:r>
      <w:r>
        <w:rPr>
          <w:rFonts w:hint="eastAsia" w:cs="宋体" w:asciiTheme="minorEastAsia" w:hAnsiTheme="minorEastAsia"/>
          <w:color w:val="auto"/>
          <w:kern w:val="0"/>
          <w:szCs w:val="21"/>
        </w:rPr>
        <w:t>受让方</w:t>
      </w:r>
      <w:r>
        <w:rPr>
          <w:rFonts w:hint="eastAsia" w:cs="宋体" w:asciiTheme="minorEastAsia" w:hAnsiTheme="minorEastAsia"/>
          <w:color w:val="auto"/>
          <w:kern w:val="0"/>
          <w:szCs w:val="21"/>
          <w:lang w:eastAsia="zh-CN"/>
        </w:rPr>
        <w:t>确定为最终受让方，</w:t>
      </w:r>
      <w:r>
        <w:rPr>
          <w:rFonts w:hint="eastAsia" w:cs="宋体" w:asciiTheme="minorEastAsia" w:hAnsiTheme="minorEastAsia"/>
          <w:color w:val="auto"/>
          <w:kern w:val="0"/>
          <w:szCs w:val="21"/>
          <w:lang w:val="en-US" w:eastAsia="zh-CN"/>
        </w:rPr>
        <w:t>成交</w:t>
      </w:r>
      <w:r>
        <w:rPr>
          <w:rFonts w:hint="eastAsia" w:cs="宋体" w:asciiTheme="minorEastAsia" w:hAnsiTheme="minorEastAsia"/>
          <w:color w:val="auto"/>
          <w:kern w:val="0"/>
          <w:szCs w:val="21"/>
          <w:lang w:eastAsia="zh-CN"/>
        </w:rPr>
        <w:t>价</w:t>
      </w:r>
      <w:r>
        <w:rPr>
          <w:rFonts w:hint="eastAsia" w:cs="宋体" w:asciiTheme="minorEastAsia" w:hAnsiTheme="minorEastAsia"/>
          <w:color w:val="auto"/>
          <w:kern w:val="0"/>
          <w:szCs w:val="21"/>
          <w:lang w:val="en-US" w:eastAsia="zh-CN"/>
        </w:rPr>
        <w:t>格</w:t>
      </w:r>
      <w:r>
        <w:rPr>
          <w:rFonts w:hint="eastAsia" w:cs="宋体" w:asciiTheme="minorEastAsia" w:hAnsiTheme="minorEastAsia"/>
          <w:color w:val="auto"/>
          <w:kern w:val="0"/>
          <w:szCs w:val="21"/>
          <w:lang w:eastAsia="zh-CN"/>
        </w:rPr>
        <w:t>为</w:t>
      </w:r>
      <w:r>
        <w:rPr>
          <w:rFonts w:hint="eastAsia" w:cs="宋体" w:asciiTheme="minorEastAsia" w:hAnsiTheme="minorEastAsia"/>
          <w:color w:val="auto"/>
          <w:kern w:val="0"/>
          <w:szCs w:val="21"/>
        </w:rPr>
        <w:t>挂牌价。</w:t>
      </w:r>
    </w:p>
    <w:p w14:paraId="350F6198">
      <w:pPr>
        <w:widowControl/>
        <w:adjustRightInd w:val="0"/>
        <w:snapToGrid w:val="0"/>
        <w:spacing w:line="320" w:lineRule="exact"/>
        <w:ind w:right="-199" w:rightChars="-95" w:firstLine="420" w:firstLineChars="200"/>
        <w:rPr>
          <w:rFonts w:hint="eastAsia" w:cs="宋体" w:asciiTheme="minorEastAsia" w:hAnsiTheme="minorEastAsia"/>
          <w:kern w:val="0"/>
          <w:szCs w:val="21"/>
        </w:rPr>
      </w:pPr>
      <w:r>
        <w:rPr>
          <w:rFonts w:hint="eastAsia" w:cs="宋体" w:asciiTheme="minorEastAsia" w:hAnsiTheme="minorEastAsia"/>
          <w:kern w:val="0"/>
          <w:szCs w:val="21"/>
        </w:rPr>
        <w:t>三、我方一旦提交报名，即视为已进行并完成针对本项目交易标的的现场勘察（包括但不限于查阅由转让方提供的标的相关的档案文件）并认可本项目转让公告（以下所指公告均以</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网站</w:t>
      </w:r>
      <w:r>
        <w:rPr>
          <w:rFonts w:ascii="宋体" w:hAnsi="宋体" w:eastAsia="宋体" w:cs="宋体"/>
          <w:sz w:val="21"/>
        </w:rPr>
        <w:t>www.sdcaee.com</w:t>
      </w:r>
      <w:r>
        <w:rPr>
          <w:rFonts w:hint="eastAsia" w:cs="宋体" w:asciiTheme="minorEastAsia" w:hAnsiTheme="minorEastAsia"/>
          <w:kern w:val="0"/>
          <w:szCs w:val="21"/>
        </w:rPr>
        <w:t>披露信息为准）及附件的全部内容。若我方无法前往本项目预展地点进行现场勘察的，则我方承诺认可交易标的现状。我方自行承担包括但不限于因所获取的表达信息不全面、错误或误解等而产生的相应后果。</w:t>
      </w:r>
    </w:p>
    <w:p w14:paraId="430DBA90">
      <w:pPr>
        <w:widowControl/>
        <w:adjustRightInd w:val="0"/>
        <w:snapToGrid w:val="0"/>
        <w:spacing w:line="320" w:lineRule="exact"/>
        <w:ind w:right="-199" w:rightChars="-95" w:firstLine="420" w:firstLineChars="200"/>
        <w:rPr>
          <w:rFonts w:hint="eastAsia" w:cs="宋体" w:asciiTheme="minorEastAsia" w:hAnsiTheme="minorEastAsia"/>
          <w:kern w:val="0"/>
          <w:szCs w:val="21"/>
        </w:rPr>
      </w:pPr>
      <w:r>
        <w:rPr>
          <w:rFonts w:hint="eastAsia" w:cs="宋体" w:asciiTheme="minorEastAsia" w:hAnsiTheme="minorEastAsia"/>
          <w:kern w:val="0"/>
          <w:szCs w:val="21"/>
        </w:rPr>
        <w:t>四、网络竞价（含动态报价）成交后，不得以不了解网络竞价（含动态报价）交易方式或不了解所竞得标的为由予拒绝受让或拒绝付款。交易标的因权属、真伪、质量或使用性能等产生的问题与</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无关。</w:t>
      </w:r>
    </w:p>
    <w:p w14:paraId="6F2D8514">
      <w:pPr>
        <w:widowControl/>
        <w:adjustRightInd w:val="0"/>
        <w:snapToGrid w:val="0"/>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五、我方保证向</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提交的资料、披露的信息是真实、准确、完整、及时的，不存在虚假、误导性或重大遗漏。</w:t>
      </w:r>
    </w:p>
    <w:p w14:paraId="6A1F163C">
      <w:pPr>
        <w:widowControl/>
        <w:adjustRightInd w:val="0"/>
        <w:snapToGrid w:val="0"/>
        <w:spacing w:line="320" w:lineRule="exact"/>
        <w:ind w:right="-199" w:rightChars="-95" w:firstLine="420" w:firstLineChars="200"/>
        <w:rPr>
          <w:rFonts w:hint="eastAsia" w:cs="宋体" w:asciiTheme="minorEastAsia" w:hAnsiTheme="minorEastAsia"/>
          <w:kern w:val="0"/>
          <w:szCs w:val="21"/>
        </w:rPr>
      </w:pPr>
      <w:r>
        <w:rPr>
          <w:rFonts w:hint="eastAsia" w:cs="宋体" w:asciiTheme="minorEastAsia" w:hAnsiTheme="minorEastAsia"/>
          <w:kern w:val="0"/>
          <w:szCs w:val="21"/>
        </w:rPr>
        <w:t>六、我方认可</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通过本承诺函（或交易系统）中载明的我方手机号码或电子邮箱发送交易相关通知。</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成功发送手机短信</w:t>
      </w:r>
      <w:r>
        <w:rPr>
          <w:rFonts w:hint="eastAsia" w:cs="宋体" w:asciiTheme="minorEastAsia" w:hAnsiTheme="minorEastAsia"/>
          <w:kern w:val="0"/>
          <w:szCs w:val="21"/>
          <w:lang w:eastAsia="zh-CN"/>
        </w:rPr>
        <w:t>、微信、</w:t>
      </w:r>
      <w:r>
        <w:rPr>
          <w:rFonts w:hint="eastAsia" w:cs="宋体" w:asciiTheme="minorEastAsia" w:hAnsiTheme="minorEastAsia"/>
          <w:kern w:val="0"/>
          <w:szCs w:val="21"/>
          <w:lang w:val="en-US" w:eastAsia="zh-CN"/>
        </w:rPr>
        <w:t>QQ</w:t>
      </w:r>
      <w:r>
        <w:rPr>
          <w:rFonts w:hint="eastAsia" w:cs="宋体" w:asciiTheme="minorEastAsia" w:hAnsiTheme="minorEastAsia"/>
          <w:kern w:val="0"/>
          <w:szCs w:val="21"/>
        </w:rPr>
        <w:t>或电子邮件，即视为我方已经收到相关通知。</w:t>
      </w:r>
    </w:p>
    <w:p w14:paraId="04A4B72D">
      <w:pPr>
        <w:widowControl/>
        <w:spacing w:line="320" w:lineRule="exact"/>
        <w:ind w:right="-199" w:rightChars="-95" w:firstLine="420" w:firstLineChars="200"/>
        <w:rPr>
          <w:b/>
          <w:color w:val="auto"/>
        </w:rPr>
      </w:pPr>
      <w:r>
        <w:rPr>
          <w:rFonts w:hint="eastAsia"/>
          <w:color w:val="auto"/>
        </w:rPr>
        <w:t>七、我方承诺在收到《挂牌结果通知单》之日起5个工作日内与转让方签署《资产交易合同》，并于签订《资产交易合同》之日起5个工作日内支付应付交易价款及基础服务费至</w:t>
      </w:r>
      <w:r>
        <w:rPr>
          <w:rFonts w:hint="eastAsia"/>
          <w:color w:val="auto"/>
          <w:lang w:eastAsia="zh-CN"/>
        </w:rPr>
        <w:t>文交所</w:t>
      </w:r>
      <w:r>
        <w:rPr>
          <w:rFonts w:hint="eastAsia"/>
          <w:color w:val="auto"/>
        </w:rPr>
        <w:t>指定账户（交易价款无息结算）。</w:t>
      </w:r>
      <w:r>
        <w:rPr>
          <w:rFonts w:hint="eastAsia"/>
          <w:b/>
          <w:color w:val="auto"/>
        </w:rPr>
        <w:t>（如本项目公告对以上办理时间有不同约定的，从其约定。）</w:t>
      </w:r>
    </w:p>
    <w:p w14:paraId="13420CB3">
      <w:pPr>
        <w:widowControl/>
        <w:spacing w:line="320" w:lineRule="exact"/>
        <w:ind w:right="-199" w:rightChars="-95" w:firstLine="420" w:firstLineChars="200"/>
        <w:rPr>
          <w:rFonts w:hint="eastAsia"/>
          <w:color w:val="auto"/>
          <w:lang w:eastAsia="zh-CN"/>
        </w:rPr>
      </w:pPr>
      <w:r>
        <w:rPr>
          <w:rFonts w:hint="eastAsia"/>
          <w:color w:val="auto"/>
        </w:rPr>
        <w:t>山东</w:t>
      </w:r>
      <w:r>
        <w:rPr>
          <w:rFonts w:hint="eastAsia"/>
          <w:color w:val="auto"/>
          <w:lang w:eastAsia="zh-CN"/>
        </w:rPr>
        <w:t>文化产权交易所</w:t>
      </w:r>
      <w:r>
        <w:rPr>
          <w:rFonts w:hint="eastAsia"/>
          <w:color w:val="auto"/>
        </w:rPr>
        <w:t>按照一定比例向交易双方分档递减累加收取基础服务费。基础服务费根据山东省发展和改革委员会《关于整合降低企业国有资产交易服务收费标准的通知》（鲁发改成本〔2023〕21号）文件要求，按以下标准分档递减累加计算交纳</w:t>
      </w:r>
      <w:r>
        <w:rPr>
          <w:rFonts w:hint="eastAsia"/>
          <w:color w:val="auto"/>
          <w:lang w:eastAsia="zh-CN"/>
        </w:rPr>
        <w:t>。</w:t>
      </w:r>
    </w:p>
    <w:p w14:paraId="51587564">
      <w:pPr>
        <w:widowControl/>
        <w:spacing w:line="320" w:lineRule="exact"/>
        <w:ind w:right="-199" w:rightChars="-95" w:firstLine="420" w:firstLineChars="200"/>
        <w:rPr>
          <w:rFonts w:hint="default"/>
          <w:color w:val="auto"/>
          <w:lang w:val="en-US" w:eastAsia="zh-CN"/>
        </w:rPr>
      </w:pPr>
      <w:r>
        <w:rPr>
          <w:rFonts w:hint="eastAsia"/>
          <w:color w:val="auto"/>
          <w:lang w:eastAsia="zh-CN"/>
        </w:rPr>
        <w:t>（</w:t>
      </w:r>
      <w:r>
        <w:rPr>
          <w:rFonts w:hint="eastAsia"/>
          <w:color w:val="auto"/>
          <w:lang w:val="en-US" w:eastAsia="zh-CN"/>
        </w:rPr>
        <w:t>1）协议成交</w:t>
      </w:r>
    </w:p>
    <w:tbl>
      <w:tblPr>
        <w:tblStyle w:val="10"/>
        <w:tblW w:w="71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158"/>
        <w:gridCol w:w="3030"/>
      </w:tblGrid>
      <w:tr w14:paraId="68B48B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4158" w:type="dxa"/>
            <w:vAlign w:val="center"/>
          </w:tcPr>
          <w:p w14:paraId="419EBFED">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转让底价</w:t>
            </w:r>
          </w:p>
        </w:tc>
        <w:tc>
          <w:tcPr>
            <w:tcW w:w="3030" w:type="dxa"/>
            <w:vAlign w:val="center"/>
          </w:tcPr>
          <w:p w14:paraId="69EF0BF5">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基础服务费</w:t>
            </w:r>
          </w:p>
        </w:tc>
      </w:tr>
      <w:tr w14:paraId="3DCA46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071F751B">
            <w:pPr>
              <w:widowControl/>
              <w:spacing w:line="320" w:lineRule="exact"/>
              <w:ind w:right="-199" w:rightChars="-95" w:firstLine="420" w:firstLineChars="200"/>
              <w:jc w:val="center"/>
              <w:rPr>
                <w:rFonts w:hint="eastAsia"/>
                <w:color w:val="auto"/>
              </w:rPr>
            </w:pPr>
            <w:r>
              <w:rPr>
                <w:rFonts w:hint="eastAsia"/>
                <w:color w:val="auto"/>
                <w:lang w:val="en-US" w:eastAsia="zh-CN"/>
              </w:rPr>
              <w:t>1亿</w:t>
            </w:r>
            <w:r>
              <w:rPr>
                <w:rFonts w:hint="eastAsia"/>
                <w:color w:val="auto"/>
              </w:rPr>
              <w:t>元以下（含）</w:t>
            </w:r>
          </w:p>
        </w:tc>
        <w:tc>
          <w:tcPr>
            <w:tcW w:w="3030" w:type="dxa"/>
            <w:vAlign w:val="center"/>
          </w:tcPr>
          <w:p w14:paraId="39D128BE">
            <w:pPr>
              <w:widowControl/>
              <w:spacing w:line="320" w:lineRule="exact"/>
              <w:ind w:right="-199" w:rightChars="-95" w:firstLine="420" w:firstLineChars="200"/>
              <w:jc w:val="center"/>
              <w:rPr>
                <w:rFonts w:hint="eastAsia"/>
                <w:color w:val="auto"/>
              </w:rPr>
            </w:pPr>
            <w:r>
              <w:rPr>
                <w:rFonts w:hint="eastAsia"/>
                <w:color w:val="auto"/>
                <w:lang w:val="en-US" w:eastAsia="zh-CN"/>
              </w:rPr>
              <w:t>1</w:t>
            </w:r>
            <w:r>
              <w:rPr>
                <w:rFonts w:hint="default"/>
                <w:color w:val="auto"/>
              </w:rPr>
              <w:t>‰</w:t>
            </w:r>
          </w:p>
        </w:tc>
      </w:tr>
      <w:tr w14:paraId="48B66D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46737EFA">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30" w:type="dxa"/>
            <w:vAlign w:val="center"/>
          </w:tcPr>
          <w:p w14:paraId="722AE3BC">
            <w:pPr>
              <w:widowControl/>
              <w:spacing w:line="320" w:lineRule="exact"/>
              <w:ind w:right="-199" w:rightChars="-95" w:firstLine="420" w:firstLineChars="200"/>
              <w:jc w:val="center"/>
              <w:rPr>
                <w:rFonts w:hint="eastAsia"/>
                <w:color w:val="auto"/>
              </w:rPr>
            </w:pPr>
            <w:r>
              <w:rPr>
                <w:rFonts w:hint="eastAsia"/>
                <w:color w:val="auto"/>
                <w:lang w:val="en-US" w:eastAsia="zh-CN"/>
              </w:rPr>
              <w:t>0.8</w:t>
            </w:r>
            <w:r>
              <w:rPr>
                <w:rFonts w:hint="default"/>
                <w:color w:val="auto"/>
              </w:rPr>
              <w:t>‰</w:t>
            </w:r>
          </w:p>
        </w:tc>
      </w:tr>
      <w:tr w14:paraId="680A65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076FE862">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30" w:type="dxa"/>
            <w:vAlign w:val="center"/>
          </w:tcPr>
          <w:p w14:paraId="4108BD05">
            <w:pPr>
              <w:widowControl/>
              <w:spacing w:line="320" w:lineRule="exact"/>
              <w:ind w:right="-199" w:rightChars="-95" w:firstLine="420" w:firstLineChars="200"/>
              <w:jc w:val="center"/>
              <w:rPr>
                <w:rFonts w:hint="eastAsia"/>
                <w:color w:val="auto"/>
              </w:rPr>
            </w:pPr>
            <w:r>
              <w:rPr>
                <w:rFonts w:hint="eastAsia"/>
                <w:color w:val="auto"/>
              </w:rPr>
              <w:t>0.</w:t>
            </w:r>
            <w:r>
              <w:rPr>
                <w:rFonts w:hint="eastAsia"/>
                <w:color w:val="auto"/>
                <w:lang w:val="en-US" w:eastAsia="zh-CN"/>
              </w:rPr>
              <w:t>5</w:t>
            </w:r>
            <w:r>
              <w:rPr>
                <w:rFonts w:hint="default"/>
                <w:color w:val="auto"/>
              </w:rPr>
              <w:t>‰</w:t>
            </w:r>
          </w:p>
        </w:tc>
      </w:tr>
    </w:tbl>
    <w:p w14:paraId="13B0DACB">
      <w:pPr>
        <w:widowControl/>
        <w:spacing w:line="320" w:lineRule="exact"/>
        <w:ind w:right="-199" w:rightChars="-95" w:firstLine="420" w:firstLineChars="200"/>
        <w:rPr>
          <w:rFonts w:hint="eastAsia"/>
          <w:color w:val="auto"/>
          <w:lang w:val="en-US" w:eastAsia="zh-CN"/>
        </w:rPr>
      </w:pPr>
      <w:r>
        <w:rPr>
          <w:rFonts w:hint="eastAsia"/>
          <w:color w:val="auto"/>
          <w:lang w:val="en-US" w:eastAsia="zh-CN"/>
        </w:rPr>
        <w:t>（2）竞价成交</w:t>
      </w:r>
    </w:p>
    <w:tbl>
      <w:tblPr>
        <w:tblStyle w:val="10"/>
        <w:tblW w:w="700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988"/>
        <w:gridCol w:w="3015"/>
      </w:tblGrid>
      <w:tr w14:paraId="52C6DA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3988" w:type="dxa"/>
            <w:vAlign w:val="center"/>
          </w:tcPr>
          <w:p w14:paraId="24615F22">
            <w:pPr>
              <w:widowControl/>
              <w:spacing w:line="320" w:lineRule="exact"/>
              <w:ind w:right="-199" w:rightChars="-95" w:firstLine="420" w:firstLineChars="200"/>
              <w:jc w:val="center"/>
              <w:rPr>
                <w:rFonts w:hint="eastAsia"/>
                <w:color w:val="auto"/>
              </w:rPr>
            </w:pPr>
            <w:r>
              <w:rPr>
                <w:rFonts w:hint="eastAsia"/>
                <w:color w:val="auto"/>
                <w:lang w:val="en-US" w:eastAsia="zh-CN"/>
              </w:rPr>
              <w:t>转让底价</w:t>
            </w:r>
          </w:p>
        </w:tc>
        <w:tc>
          <w:tcPr>
            <w:tcW w:w="3015" w:type="dxa"/>
            <w:vAlign w:val="center"/>
          </w:tcPr>
          <w:p w14:paraId="724976F4">
            <w:pPr>
              <w:widowControl/>
              <w:spacing w:line="320" w:lineRule="exact"/>
              <w:ind w:right="-199" w:rightChars="-95" w:firstLine="420" w:firstLineChars="200"/>
              <w:jc w:val="center"/>
              <w:rPr>
                <w:rFonts w:hint="eastAsia"/>
                <w:color w:val="auto"/>
                <w:lang w:val="en-US" w:eastAsia="zh-CN"/>
              </w:rPr>
            </w:pPr>
            <w:r>
              <w:rPr>
                <w:rFonts w:hint="eastAsia"/>
                <w:color w:val="auto"/>
                <w:lang w:val="en-US" w:eastAsia="zh-CN"/>
              </w:rPr>
              <w:t>基础服务费</w:t>
            </w:r>
          </w:p>
        </w:tc>
      </w:tr>
      <w:tr w14:paraId="0A12E6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726E584E">
            <w:pPr>
              <w:widowControl/>
              <w:spacing w:line="320" w:lineRule="exact"/>
              <w:ind w:right="-199" w:rightChars="-95" w:firstLine="420" w:firstLineChars="200"/>
              <w:jc w:val="center"/>
              <w:rPr>
                <w:rFonts w:hint="eastAsia"/>
                <w:color w:val="auto"/>
              </w:rPr>
            </w:pPr>
            <w:r>
              <w:rPr>
                <w:rFonts w:hint="eastAsia"/>
                <w:color w:val="auto"/>
              </w:rPr>
              <w:t>500万元以下（含）</w:t>
            </w:r>
          </w:p>
        </w:tc>
        <w:tc>
          <w:tcPr>
            <w:tcW w:w="3015" w:type="dxa"/>
            <w:vAlign w:val="center"/>
          </w:tcPr>
          <w:p w14:paraId="61E71B44">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3%</w:t>
            </w:r>
          </w:p>
        </w:tc>
      </w:tr>
      <w:tr w14:paraId="793D97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5D1A466E">
            <w:pPr>
              <w:widowControl/>
              <w:spacing w:line="320" w:lineRule="exact"/>
              <w:ind w:right="-199" w:rightChars="-95" w:firstLine="420" w:firstLineChars="200"/>
              <w:jc w:val="center"/>
              <w:rPr>
                <w:rFonts w:hint="eastAsia"/>
                <w:color w:val="auto"/>
              </w:rPr>
            </w:pPr>
            <w:r>
              <w:rPr>
                <w:rFonts w:hint="eastAsia"/>
                <w:color w:val="auto"/>
              </w:rPr>
              <w:t>500万元-2000万元（含）</w:t>
            </w:r>
          </w:p>
        </w:tc>
        <w:tc>
          <w:tcPr>
            <w:tcW w:w="3015" w:type="dxa"/>
            <w:vAlign w:val="center"/>
          </w:tcPr>
          <w:p w14:paraId="2A04EAF8">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2%</w:t>
            </w:r>
          </w:p>
        </w:tc>
      </w:tr>
      <w:tr w14:paraId="1EB939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3D253F9C">
            <w:pPr>
              <w:widowControl/>
              <w:spacing w:line="320" w:lineRule="exact"/>
              <w:ind w:right="-199" w:rightChars="-95" w:firstLine="420" w:firstLineChars="200"/>
              <w:jc w:val="center"/>
              <w:rPr>
                <w:rFonts w:hint="eastAsia"/>
                <w:color w:val="auto"/>
              </w:rPr>
            </w:pPr>
            <w:r>
              <w:rPr>
                <w:rFonts w:hint="eastAsia"/>
                <w:color w:val="auto"/>
              </w:rPr>
              <w:t>2000万元-1亿元（含）</w:t>
            </w:r>
          </w:p>
        </w:tc>
        <w:tc>
          <w:tcPr>
            <w:tcW w:w="3015" w:type="dxa"/>
            <w:vAlign w:val="center"/>
          </w:tcPr>
          <w:p w14:paraId="1FC77D08">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1%</w:t>
            </w:r>
          </w:p>
        </w:tc>
      </w:tr>
      <w:tr w14:paraId="0D002C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02EEBCBE">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15" w:type="dxa"/>
            <w:vAlign w:val="center"/>
          </w:tcPr>
          <w:p w14:paraId="4C2F7437">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0.5%</w:t>
            </w:r>
          </w:p>
        </w:tc>
      </w:tr>
      <w:tr w14:paraId="249654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5FB05DDB">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15" w:type="dxa"/>
            <w:vAlign w:val="center"/>
          </w:tcPr>
          <w:p w14:paraId="40A1F394">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0.2%</w:t>
            </w:r>
          </w:p>
        </w:tc>
      </w:tr>
    </w:tbl>
    <w:p w14:paraId="253A396A">
      <w:pPr>
        <w:widowControl/>
        <w:spacing w:line="320" w:lineRule="exact"/>
        <w:ind w:right="-199" w:rightChars="-95" w:firstLine="420" w:firstLineChars="200"/>
        <w:rPr>
          <w:rFonts w:hint="eastAsia"/>
          <w:color w:val="auto"/>
          <w:lang w:eastAsia="zh-CN"/>
        </w:rPr>
      </w:pPr>
      <w:r>
        <w:rPr>
          <w:rFonts w:hint="eastAsia"/>
          <w:color w:val="auto"/>
          <w:lang w:val="en-US" w:eastAsia="zh-CN"/>
        </w:rPr>
        <w:t>项目竞价成交但未产生溢价的，按协议成交方式收费。</w:t>
      </w:r>
    </w:p>
    <w:p w14:paraId="16F5D766">
      <w:pPr>
        <w:widowControl/>
        <w:spacing w:line="320" w:lineRule="exact"/>
        <w:ind w:right="-199" w:rightChars="-95" w:firstLine="420" w:firstLineChars="200"/>
        <w:rPr>
          <w:rFonts w:ascii="宋体" w:hAnsi="宋体" w:eastAsia="宋体" w:cs="宋体"/>
          <w:kern w:val="0"/>
          <w:szCs w:val="21"/>
        </w:rPr>
      </w:pPr>
      <w:r>
        <w:rPr>
          <w:rFonts w:hint="eastAsia"/>
          <w:color w:val="auto"/>
        </w:rPr>
        <w:t>八、我方同意本项目公告中与转让相关的其他条件，并承诺符合相关受让方资格条件。</w:t>
      </w:r>
      <w:r>
        <w:rPr>
          <w:rFonts w:hint="eastAsia" w:ascii="宋体" w:hAnsi="宋体" w:cs="宋体"/>
          <w:color w:val="auto"/>
          <w:kern w:val="0"/>
          <w:szCs w:val="21"/>
        </w:rPr>
        <w:t>如因资</w:t>
      </w:r>
      <w:r>
        <w:rPr>
          <w:rFonts w:hint="eastAsia" w:ascii="宋体" w:hAnsi="宋体" w:cs="宋体"/>
          <w:kern w:val="0"/>
          <w:szCs w:val="21"/>
        </w:rPr>
        <w:t>格不符对转让方及</w:t>
      </w:r>
      <w:r>
        <w:rPr>
          <w:rFonts w:hint="eastAsia" w:ascii="宋体" w:hAnsi="宋体" w:cs="宋体"/>
          <w:kern w:val="0"/>
          <w:szCs w:val="21"/>
          <w:lang w:eastAsia="zh-CN"/>
        </w:rPr>
        <w:t>文交所</w:t>
      </w:r>
      <w:r>
        <w:rPr>
          <w:rFonts w:hint="eastAsia" w:ascii="宋体" w:hAnsi="宋体" w:cs="宋体"/>
          <w:kern w:val="0"/>
          <w:szCs w:val="21"/>
        </w:rPr>
        <w:t>造成损失的，我方承担违约责任。</w:t>
      </w:r>
    </w:p>
    <w:p w14:paraId="60A4D4CE">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九、我方同意，如我方违反本项目《须知》及本承诺的，</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有权取消我方的竞买资格，并同意</w:t>
      </w:r>
      <w:r>
        <w:rPr>
          <w:rFonts w:hint="eastAsia"/>
          <w:lang w:eastAsia="zh-CN"/>
        </w:rPr>
        <w:t>文交所</w:t>
      </w:r>
      <w:r>
        <w:rPr>
          <w:rFonts w:hint="eastAsia"/>
        </w:rPr>
        <w:t>根据《</w:t>
      </w:r>
      <w:r>
        <w:rPr>
          <w:rFonts w:hint="eastAsia"/>
          <w:lang w:eastAsia="zh-CN"/>
        </w:rPr>
        <w:t>山东文化产权交易所</w:t>
      </w:r>
      <w:r>
        <w:rPr>
          <w:rFonts w:hint="eastAsia"/>
        </w:rPr>
        <w:t>产权保证金</w:t>
      </w:r>
      <w:r>
        <w:rPr>
          <w:rFonts w:hint="eastAsia"/>
          <w:lang w:eastAsia="zh-CN"/>
        </w:rPr>
        <w:t>出款</w:t>
      </w:r>
      <w:r>
        <w:rPr>
          <w:rFonts w:hint="eastAsia"/>
        </w:rPr>
        <w:t>操作</w:t>
      </w:r>
      <w:r>
        <w:rPr>
          <w:rFonts w:hint="eastAsia"/>
          <w:lang w:eastAsia="zh-CN"/>
        </w:rPr>
        <w:t>规定</w:t>
      </w:r>
      <w:r>
        <w:rPr>
          <w:rFonts w:hint="eastAsia"/>
        </w:rPr>
        <w:t>》及本项目《交易须知》</w:t>
      </w:r>
      <w:r>
        <w:rPr>
          <w:rFonts w:hint="eastAsia" w:cs="宋体" w:asciiTheme="minorEastAsia" w:hAnsiTheme="minorEastAsia"/>
          <w:kern w:val="0"/>
          <w:szCs w:val="21"/>
        </w:rPr>
        <w:t>扣收我方交纳的保证金。</w:t>
      </w:r>
    </w:p>
    <w:p w14:paraId="7AC246AC">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十、我方同意，被确定为受让方后不能在规定时间内付清交易价款及</w:t>
      </w:r>
      <w:r>
        <w:rPr>
          <w:rFonts w:hint="eastAsia" w:cs="宋体" w:asciiTheme="minorEastAsia" w:hAnsiTheme="minorEastAsia"/>
          <w:kern w:val="0"/>
          <w:szCs w:val="21"/>
          <w:lang w:val="en-US" w:eastAsia="zh-CN"/>
        </w:rPr>
        <w:t>交易费用</w:t>
      </w:r>
      <w:r>
        <w:rPr>
          <w:rFonts w:hint="eastAsia" w:cs="宋体" w:asciiTheme="minorEastAsia" w:hAnsiTheme="minorEastAsia"/>
          <w:kern w:val="0"/>
          <w:szCs w:val="21"/>
        </w:rPr>
        <w:t>、按要求完成项目移交的，承诺承担以下责任：</w:t>
      </w:r>
    </w:p>
    <w:p w14:paraId="1428D52C">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1、</w:t>
      </w:r>
      <w:r>
        <w:rPr>
          <w:rFonts w:hint="eastAsia" w:ascii="宋体" w:hAnsi="宋体" w:eastAsia="宋体" w:cs="Times New Roman"/>
          <w:color w:val="auto"/>
          <w:kern w:val="0"/>
          <w:szCs w:val="21"/>
          <w:lang w:eastAsia="zh-CN"/>
        </w:rPr>
        <w:t>未能付清全部交易价款及</w:t>
      </w:r>
      <w:r>
        <w:rPr>
          <w:rFonts w:hint="eastAsia" w:cs="宋体" w:asciiTheme="minorEastAsia" w:hAnsiTheme="minorEastAsia"/>
          <w:kern w:val="0"/>
          <w:szCs w:val="21"/>
          <w:lang w:val="en-US" w:eastAsia="zh-CN"/>
        </w:rPr>
        <w:t>交易费用</w:t>
      </w:r>
      <w:r>
        <w:rPr>
          <w:rFonts w:hint="eastAsia" w:ascii="宋体" w:hAnsi="宋体" w:eastAsia="宋体" w:cs="Times New Roman"/>
          <w:color w:val="auto"/>
          <w:kern w:val="0"/>
          <w:szCs w:val="21"/>
          <w:lang w:eastAsia="zh-CN"/>
        </w:rPr>
        <w:t>的，构成违约，同意按照挂牌价格的10%向文交所支付违约金；</w:t>
      </w:r>
      <w:r>
        <w:rPr>
          <w:rFonts w:hint="eastAsia" w:cs="宋体" w:asciiTheme="minorEastAsia" w:hAnsiTheme="minorEastAsia"/>
          <w:kern w:val="0"/>
          <w:szCs w:val="21"/>
        </w:rPr>
        <w:t>转让方和</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有权再次组织本项目的交易活动，再次成交的成交价如低于本次成交价，则差额部分由我方补足，并承担相关费用；同时本次交易活动我方及转让方的全部交易费用由我方承担。我方保证金不足以弥补上述费用的，转让方和</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有权向违约方进行追索。</w:t>
      </w:r>
    </w:p>
    <w:p w14:paraId="5C671F2A">
      <w:pPr>
        <w:widowControl/>
        <w:spacing w:line="320" w:lineRule="exact"/>
        <w:ind w:right="-199" w:rightChars="-95" w:firstLine="420" w:firstLineChars="200"/>
        <w:rPr>
          <w:rFonts w:cs="宋体" w:asciiTheme="minorEastAsia" w:hAnsiTheme="minorEastAsia"/>
          <w:kern w:val="0"/>
          <w:szCs w:val="21"/>
        </w:rPr>
      </w:pPr>
      <w:r>
        <w:rPr>
          <w:rFonts w:cs="宋体" w:asciiTheme="minorEastAsia" w:hAnsiTheme="minorEastAsia"/>
          <w:kern w:val="0"/>
          <w:szCs w:val="21"/>
        </w:rPr>
        <w:t>2、</w:t>
      </w:r>
      <w:r>
        <w:rPr>
          <w:rFonts w:hint="eastAsia" w:cs="宋体" w:asciiTheme="minorEastAsia" w:hAnsiTheme="minorEastAsia"/>
          <w:kern w:val="0"/>
          <w:szCs w:val="21"/>
        </w:rPr>
        <w:t>未按要求完成项目交割的，转让方不再承担相应保管责任，标的的毁损灭失风险由我方承担。在标的移交过程中所发生的包括但不限于运输、拆解、保管、处理等一切费用均由我方自行承担，并同意从我方已交纳的保证金中扣除。移交过程中如造成标的存储地点的硬件设施及标的本身的损毁由我方承担责任。</w:t>
      </w:r>
    </w:p>
    <w:p w14:paraId="7AA12EA5">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十一、本承诺函传真件、扫描件与原件具有同等法律效力。</w:t>
      </w:r>
    </w:p>
    <w:p w14:paraId="313C053D">
      <w:pPr>
        <w:widowControl/>
        <w:spacing w:line="320" w:lineRule="exact"/>
        <w:ind w:right="-199" w:rightChars="-95" w:firstLine="420" w:firstLineChars="200"/>
        <w:rPr>
          <w:rFonts w:cs="宋体" w:asciiTheme="minorEastAsia" w:hAnsiTheme="minorEastAsia"/>
          <w:kern w:val="0"/>
          <w:szCs w:val="21"/>
        </w:rPr>
      </w:pPr>
    </w:p>
    <w:p w14:paraId="2CCD2898">
      <w:pPr>
        <w:widowControl/>
        <w:spacing w:line="320" w:lineRule="exact"/>
        <w:ind w:left="-283" w:leftChars="-135" w:right="-199" w:rightChars="-95" w:firstLine="163" w:firstLineChars="78"/>
      </w:pPr>
      <w:r>
        <w:rPr>
          <w:rFonts w:hint="eastAsia" w:cs="宋体" w:asciiTheme="minorEastAsia" w:hAnsiTheme="minorEastAsia"/>
          <w:kern w:val="0"/>
          <w:szCs w:val="21"/>
        </w:rPr>
        <w:t xml:space="preserve"> </w:t>
      </w:r>
      <w:r>
        <w:rPr>
          <w:rFonts w:cs="宋体" w:asciiTheme="minorEastAsia" w:hAnsiTheme="minorEastAsia"/>
          <w:kern w:val="0"/>
          <w:szCs w:val="21"/>
        </w:rPr>
        <w:t xml:space="preserve"> </w:t>
      </w:r>
      <w:r>
        <w:rPr>
          <w:rFonts w:hint="eastAsia" w:cs="宋体" w:asciiTheme="minorEastAsia" w:hAnsiTheme="minorEastAsia"/>
          <w:b/>
          <w:kern w:val="0"/>
          <w:szCs w:val="21"/>
        </w:rPr>
        <w:t xml:space="preserve">□ 承诺方为企业法人或其他经济组织的： </w:t>
      </w:r>
      <w:r>
        <w:t xml:space="preserve">                   </w:t>
      </w:r>
      <w:r>
        <w:rPr>
          <w:rFonts w:hint="eastAsia" w:cs="宋体" w:asciiTheme="minorEastAsia" w:hAnsiTheme="minorEastAsia"/>
          <w:b/>
          <w:kern w:val="0"/>
          <w:szCs w:val="21"/>
        </w:rPr>
        <w:t>□ 承诺方为自然人的：</w:t>
      </w:r>
    </w:p>
    <w:p w14:paraId="066A9EFB">
      <w:pPr>
        <w:widowControl/>
        <w:spacing w:line="320" w:lineRule="exact"/>
        <w:ind w:left="-283" w:leftChars="-135" w:right="-199" w:rightChars="-95" w:firstLine="163" w:firstLineChars="78"/>
        <w:rPr>
          <w:rFonts w:asciiTheme="minorEastAsia" w:hAnsiTheme="minorEastAsia"/>
          <w:kern w:val="0"/>
          <w:szCs w:val="21"/>
        </w:rPr>
      </w:pPr>
    </w:p>
    <w:p w14:paraId="6E39D559">
      <w:pPr>
        <w:widowControl/>
        <w:spacing w:line="320" w:lineRule="exact"/>
        <w:ind w:left="-283" w:leftChars="-135" w:right="-199" w:rightChars="-95" w:firstLine="163" w:firstLineChars="78"/>
        <w:rPr>
          <w:rFonts w:asciiTheme="minorEastAsia" w:hAnsiTheme="minorEastAsia"/>
          <w:kern w:val="0"/>
          <w:szCs w:val="21"/>
          <w:u w:val="single"/>
        </w:rPr>
      </w:pPr>
      <w:r>
        <w:rPr>
          <w:rFonts w:hint="eastAsia" w:cs="宋体" w:asciiTheme="minorEastAsia" w:hAnsiTheme="minorEastAsia"/>
          <w:kern w:val="0"/>
          <w:szCs w:val="21"/>
        </w:rPr>
        <w:t>承诺方（盖章）：</w:t>
      </w:r>
      <w:r>
        <w:rPr>
          <w:rFonts w:hint="eastAsia" w:asciiTheme="minorEastAsia" w:hAnsiTheme="minorEastAsia"/>
          <w:kern w:val="0"/>
          <w:szCs w:val="21"/>
          <w:u w:val="single"/>
        </w:rPr>
        <w:t xml:space="preserve">          </w:t>
      </w:r>
      <w:r>
        <w:rPr>
          <w:rFonts w:asciiTheme="minorEastAsia" w:hAnsiTheme="minorEastAsia"/>
          <w:kern w:val="0"/>
          <w:szCs w:val="21"/>
          <w:u w:val="single"/>
        </w:rPr>
        <w:t xml:space="preserve">   </w:t>
      </w:r>
      <w:r>
        <w:rPr>
          <w:rFonts w:asciiTheme="minorEastAsia" w:hAnsiTheme="minorEastAsia"/>
          <w:kern w:val="0"/>
          <w:szCs w:val="21"/>
        </w:rPr>
        <w:t> </w:t>
      </w:r>
      <w:r>
        <w:rPr>
          <w:rFonts w:hint="eastAsia" w:asciiTheme="minorEastAsia" w:hAnsiTheme="minorEastAsia"/>
          <w:kern w:val="0"/>
          <w:szCs w:val="21"/>
        </w:rPr>
        <w:t xml:space="preserve">        </w:t>
      </w:r>
      <w:r>
        <w:rPr>
          <w:rFonts w:asciiTheme="minorEastAsia" w:hAnsiTheme="minorEastAsia"/>
          <w:kern w:val="0"/>
          <w:szCs w:val="21"/>
        </w:rPr>
        <w:t xml:space="preserve">                   </w:t>
      </w:r>
      <w:r>
        <w:rPr>
          <w:rFonts w:hint="eastAsia" w:asciiTheme="minorEastAsia" w:hAnsiTheme="minorEastAsia"/>
          <w:kern w:val="0"/>
          <w:szCs w:val="21"/>
        </w:rPr>
        <w:t>承诺方（签字、手印）</w:t>
      </w:r>
      <w:r>
        <w:rPr>
          <w:rFonts w:hint="eastAsia" w:asciiTheme="minorEastAsia" w:hAnsiTheme="minorEastAsia"/>
          <w:kern w:val="0"/>
          <w:szCs w:val="21"/>
          <w:u w:val="single"/>
        </w:rPr>
        <w:t xml:space="preserve"> </w:t>
      </w:r>
      <w:r>
        <w:rPr>
          <w:rFonts w:asciiTheme="minorEastAsia" w:hAnsiTheme="minorEastAsia"/>
          <w:kern w:val="0"/>
          <w:szCs w:val="21"/>
          <w:u w:val="single"/>
        </w:rPr>
        <w:t xml:space="preserve">       </w:t>
      </w:r>
    </w:p>
    <w:p w14:paraId="1703D0D7">
      <w:pPr>
        <w:widowControl/>
        <w:spacing w:line="320" w:lineRule="exact"/>
        <w:ind w:left="-283" w:leftChars="-135" w:right="-199" w:rightChars="-95" w:firstLine="163" w:firstLineChars="78"/>
        <w:rPr>
          <w:rFonts w:ascii="宋体" w:hAnsi="Times New Roman" w:eastAsia="宋体" w:cs="Times New Roman"/>
          <w:kern w:val="0"/>
          <w:szCs w:val="21"/>
        </w:rPr>
      </w:pPr>
      <w:r>
        <w:rPr>
          <w:rFonts w:hint="eastAsia" w:asciiTheme="minorEastAsia" w:hAnsiTheme="minorEastAsia"/>
          <w:kern w:val="0"/>
          <w:szCs w:val="21"/>
        </w:rPr>
        <w:t>法定</w:t>
      </w:r>
      <w:r>
        <w:rPr>
          <w:rFonts w:hint="eastAsia" w:cs="宋体" w:asciiTheme="minorEastAsia" w:hAnsiTheme="minorEastAsia"/>
          <w:kern w:val="0"/>
          <w:szCs w:val="21"/>
        </w:rPr>
        <w:t>代表人/授权代表人（签字）：</w:t>
      </w:r>
      <w:r>
        <w:rPr>
          <w:rFonts w:hint="eastAsia" w:asciiTheme="minorEastAsia" w:hAnsiTheme="minorEastAsia"/>
          <w:kern w:val="0"/>
          <w:szCs w:val="21"/>
          <w:u w:val="single"/>
        </w:rPr>
        <w:t xml:space="preserve">      </w:t>
      </w:r>
      <w:r>
        <w:rPr>
          <w:rFonts w:asciiTheme="minorEastAsia" w:hAnsiTheme="minorEastAsia"/>
          <w:kern w:val="0"/>
          <w:szCs w:val="21"/>
          <w:u w:val="single"/>
        </w:rPr>
        <w:t xml:space="preserve">    </w:t>
      </w:r>
      <w:r>
        <w:rPr>
          <w:rFonts w:hint="eastAsia" w:ascii="宋体" w:hAnsi="Times New Roman" w:eastAsia="宋体" w:cs="Times New Roman"/>
          <w:kern w:val="0"/>
          <w:szCs w:val="21"/>
        </w:rPr>
        <w:t xml:space="preserve">    </w:t>
      </w:r>
      <w:r>
        <w:rPr>
          <w:rFonts w:ascii="宋体" w:hAnsi="Times New Roman" w:eastAsia="宋体" w:cs="Times New Roman"/>
          <w:kern w:val="0"/>
          <w:szCs w:val="21"/>
        </w:rPr>
        <w:t xml:space="preserve">  </w:t>
      </w:r>
      <w:r>
        <w:rPr>
          <w:rFonts w:hint="eastAsia" w:ascii="宋体" w:hAnsi="Times New Roman" w:eastAsia="宋体" w:cs="Times New Roman"/>
          <w:kern w:val="0"/>
          <w:szCs w:val="21"/>
        </w:rPr>
        <w:t xml:space="preserve">  </w:t>
      </w:r>
      <w:r>
        <w:rPr>
          <w:rFonts w:ascii="宋体" w:hAnsi="Times New Roman" w:eastAsia="宋体" w:cs="Times New Roman"/>
          <w:kern w:val="0"/>
          <w:szCs w:val="21"/>
        </w:rPr>
        <w:t xml:space="preserve">         </w:t>
      </w:r>
      <w:r>
        <w:rPr>
          <w:rFonts w:hint="eastAsia" w:ascii="宋体" w:hAnsi="Times New Roman" w:eastAsia="宋体" w:cs="Times New Roman"/>
          <w:kern w:val="0"/>
          <w:szCs w:val="21"/>
        </w:rPr>
        <w:t>手机号：</w:t>
      </w:r>
      <w:r>
        <w:rPr>
          <w:rFonts w:hint="eastAsia" w:ascii="宋体" w:hAnsi="Times New Roman" w:eastAsia="宋体" w:cs="Times New Roman"/>
          <w:kern w:val="0"/>
          <w:szCs w:val="21"/>
          <w:u w:val="single"/>
        </w:rPr>
        <w:t xml:space="preserve">            </w:t>
      </w:r>
      <w:r>
        <w:rPr>
          <w:rFonts w:hint="eastAsia" w:ascii="宋体" w:hAnsi="Times New Roman" w:eastAsia="宋体" w:cs="Times New Roman"/>
          <w:kern w:val="0"/>
          <w:szCs w:val="21"/>
        </w:rPr>
        <w:t xml:space="preserve"> </w:t>
      </w:r>
    </w:p>
    <w:p w14:paraId="42BB3860">
      <w:pPr>
        <w:widowControl/>
        <w:spacing w:line="320" w:lineRule="exact"/>
        <w:ind w:left="-283" w:leftChars="-135" w:right="-199" w:rightChars="-95" w:firstLine="163" w:firstLineChars="78"/>
        <w:rPr>
          <w:rFonts w:ascii="Times New Roman" w:hAnsi="Times New Roman" w:eastAsia="宋体" w:cs="Times New Roman"/>
          <w:szCs w:val="21"/>
        </w:rPr>
      </w:pPr>
      <w:r>
        <w:rPr>
          <w:rFonts w:hint="eastAsia" w:ascii="宋体" w:hAnsi="Times New Roman" w:eastAsia="宋体" w:cs="Times New Roman"/>
          <w:kern w:val="0"/>
          <w:szCs w:val="21"/>
        </w:rPr>
        <w:t>手机号：</w:t>
      </w:r>
      <w:r>
        <w:rPr>
          <w:rFonts w:hint="eastAsia" w:ascii="宋体" w:hAnsi="Times New Roman" w:eastAsia="宋体" w:cs="Times New Roman"/>
          <w:kern w:val="0"/>
          <w:szCs w:val="21"/>
          <w:u w:val="single"/>
        </w:rPr>
        <w:t xml:space="preserve">              </w:t>
      </w:r>
      <w:r>
        <w:rPr>
          <w:rFonts w:ascii="宋体" w:hAnsi="Times New Roman" w:eastAsia="宋体" w:cs="Times New Roman"/>
          <w:kern w:val="0"/>
          <w:szCs w:val="21"/>
          <w:u w:val="single"/>
        </w:rPr>
        <w:t xml:space="preserve"> </w:t>
      </w:r>
      <w:r>
        <w:rPr>
          <w:rFonts w:ascii="宋体" w:hAnsi="Times New Roman" w:eastAsia="宋体" w:cs="Times New Roman"/>
          <w:kern w:val="0"/>
          <w:szCs w:val="21"/>
        </w:rPr>
        <w:t xml:space="preserve">          </w:t>
      </w:r>
      <w:r>
        <w:rPr>
          <w:rFonts w:hint="eastAsia" w:ascii="宋体" w:hAnsi="Times New Roman" w:eastAsia="宋体" w:cs="Times New Roman"/>
          <w:kern w:val="0"/>
          <w:szCs w:val="21"/>
        </w:rPr>
        <w:t xml:space="preserve">      </w:t>
      </w:r>
      <w:r>
        <w:rPr>
          <w:rFonts w:ascii="宋体" w:hAnsi="宋体" w:eastAsia="宋体" w:cs="Times New Roman"/>
          <w:kern w:val="0"/>
          <w:szCs w:val="21"/>
        </w:rPr>
        <w:t xml:space="preserve">        </w:t>
      </w:r>
      <w:r>
        <w:rPr>
          <w:rFonts w:hint="eastAsia" w:ascii="Times New Roman" w:hAnsi="Times New Roman" w:eastAsia="宋体" w:cs="Times New Roman"/>
          <w:szCs w:val="21"/>
        </w:rPr>
        <w:t xml:space="preserve">  </w:t>
      </w:r>
      <w:r>
        <w:rPr>
          <w:rFonts w:ascii="Times New Roman" w:hAnsi="Times New Roman" w:eastAsia="宋体" w:cs="Times New Roman"/>
          <w:szCs w:val="21"/>
        </w:rPr>
        <w:t xml:space="preserve">              </w:t>
      </w:r>
    </w:p>
    <w:p w14:paraId="283DB7AB">
      <w:pPr>
        <w:widowControl/>
        <w:spacing w:line="320" w:lineRule="exact"/>
        <w:ind w:left="-283" w:leftChars="-135" w:right="-199" w:rightChars="-95" w:firstLine="163" w:firstLineChars="78"/>
        <w:rPr>
          <w:rFonts w:ascii="Times New Roman" w:hAnsi="Times New Roman" w:eastAsia="宋体" w:cs="Times New Roman"/>
          <w:szCs w:val="21"/>
        </w:rPr>
      </w:pPr>
      <w:r>
        <w:rPr>
          <w:rFonts w:ascii="Times New Roman" w:hAnsi="Times New Roman" w:eastAsia="宋体" w:cs="Times New Roman"/>
          <w:szCs w:val="21"/>
        </w:rPr>
        <w:t>20</w:t>
      </w:r>
      <w:r>
        <w:rPr>
          <w:rFonts w:hint="eastAsia" w:ascii="Times New Roman" w:hAnsi="Times New Roman" w:eastAsia="宋体" w:cs="Times New Roman"/>
          <w:szCs w:val="21"/>
        </w:rPr>
        <w:t>2</w:t>
      </w:r>
      <w:r>
        <w:rPr>
          <w:rFonts w:hint="eastAsia" w:ascii="Times New Roman" w:hAnsi="Times New Roman" w:eastAsia="宋体" w:cs="Times New Roman"/>
          <w:szCs w:val="21"/>
          <w:lang w:val="en-US" w:eastAsia="zh-CN"/>
        </w:rPr>
        <w:t>5</w:t>
      </w:r>
      <w:r>
        <w:rPr>
          <w:rFonts w:hint="eastAsia" w:ascii="Times New Roman" w:hAnsi="Times New Roman" w:eastAsia="宋体" w:cs="Times New Roman"/>
          <w:szCs w:val="21"/>
        </w:rPr>
        <w:t>年</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月</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 xml:space="preserve"> 日 </w:t>
      </w:r>
      <w:r>
        <w:rPr>
          <w:rFonts w:ascii="Times New Roman" w:hAnsi="Times New Roman" w:eastAsia="宋体" w:cs="Times New Roman"/>
          <w:szCs w:val="21"/>
        </w:rPr>
        <w:t xml:space="preserve">                                     </w:t>
      </w:r>
      <w:r>
        <w:rPr>
          <w:rFonts w:hint="eastAsia" w:ascii="Times New Roman" w:hAnsi="Times New Roman" w:eastAsia="宋体" w:cs="Times New Roman"/>
          <w:szCs w:val="21"/>
          <w:lang w:val="en-US" w:eastAsia="zh-CN"/>
        </w:rPr>
        <w:t xml:space="preserve">  </w:t>
      </w:r>
      <w:r>
        <w:rPr>
          <w:rFonts w:hint="eastAsia" w:ascii="Times New Roman" w:hAnsi="Times New Roman" w:eastAsia="宋体" w:cs="Times New Roman"/>
          <w:szCs w:val="21"/>
        </w:rPr>
        <w:t>202</w:t>
      </w:r>
      <w:r>
        <w:rPr>
          <w:rFonts w:hint="eastAsia" w:ascii="Times New Roman" w:hAnsi="Times New Roman" w:eastAsia="宋体" w:cs="Times New Roman"/>
          <w:szCs w:val="21"/>
          <w:lang w:val="en-US" w:eastAsia="zh-CN"/>
        </w:rPr>
        <w:t>5</w:t>
      </w:r>
      <w:r>
        <w:rPr>
          <w:rFonts w:hint="eastAsia" w:ascii="Times New Roman" w:hAnsi="Times New Roman" w:eastAsia="宋体" w:cs="Times New Roman"/>
          <w:szCs w:val="21"/>
        </w:rPr>
        <w:t>年</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月</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日</w:t>
      </w:r>
    </w:p>
    <w:p w14:paraId="62455910">
      <w:pPr>
        <w:widowControl/>
        <w:spacing w:line="360" w:lineRule="exact"/>
        <w:ind w:left="-283" w:leftChars="-135" w:right="-199" w:rightChars="-95" w:firstLine="163" w:firstLineChars="78"/>
        <w:rPr>
          <w:rFonts w:cs="宋体" w:asciiTheme="minorEastAsia" w:hAnsiTheme="minorEastAsia"/>
          <w:kern w:val="0"/>
          <w:szCs w:val="21"/>
        </w:rPr>
      </w:pPr>
    </w:p>
    <w:p w14:paraId="5948B2EE">
      <w:pPr>
        <w:widowControl/>
        <w:spacing w:line="360" w:lineRule="exact"/>
        <w:ind w:left="-283" w:leftChars="-135" w:right="-199" w:rightChars="-95" w:firstLine="163" w:firstLineChars="78"/>
        <w:rPr>
          <w:rFonts w:cs="宋体" w:asciiTheme="minorEastAsia" w:hAnsiTheme="minorEastAsia"/>
          <w:kern w:val="0"/>
          <w:szCs w:val="21"/>
        </w:rPr>
      </w:pPr>
    </w:p>
    <w:p w14:paraId="18A8178E">
      <w:pPr>
        <w:widowControl/>
        <w:spacing w:line="360" w:lineRule="exact"/>
        <w:ind w:left="-283" w:leftChars="-135" w:right="-199" w:rightChars="-95" w:firstLine="163" w:firstLineChars="78"/>
        <w:rPr>
          <w:rFonts w:hint="eastAsia" w:asciiTheme="minorEastAsia" w:hAnsiTheme="minorEastAsia" w:eastAsiaTheme="minorEastAsia"/>
          <w:kern w:val="0"/>
          <w:szCs w:val="21"/>
          <w:lang w:val="en-US" w:eastAsia="zh-CN"/>
        </w:rPr>
      </w:pPr>
      <w:r>
        <w:rPr>
          <w:rFonts w:hint="eastAsia" w:asciiTheme="minorEastAsia" w:hAnsiTheme="minorEastAsia"/>
          <w:kern w:val="0"/>
          <w:szCs w:val="21"/>
          <w:lang w:val="en-US" w:eastAsia="zh-CN"/>
        </w:rPr>
        <w:t xml:space="preserve"> </w:t>
      </w:r>
    </w:p>
    <w:p w14:paraId="50CB3314">
      <w:pPr>
        <w:widowControl/>
        <w:spacing w:line="360" w:lineRule="exact"/>
        <w:ind w:left="-283" w:leftChars="-135" w:right="-199" w:rightChars="-95" w:firstLine="163" w:firstLineChars="78"/>
        <w:rPr>
          <w:rFonts w:asciiTheme="minorEastAsia" w:hAnsiTheme="minorEastAsia"/>
          <w:kern w:val="0"/>
          <w:szCs w:val="21"/>
        </w:rPr>
      </w:pPr>
    </w:p>
    <w:p w14:paraId="0A05EC2A">
      <w:pPr>
        <w:widowControl/>
        <w:spacing w:line="360" w:lineRule="exact"/>
        <w:ind w:left="-283" w:leftChars="-135" w:right="-199" w:rightChars="-95" w:firstLine="163" w:firstLineChars="78"/>
        <w:rPr>
          <w:rFonts w:asciiTheme="minorEastAsia" w:hAnsiTheme="minorEastAsia"/>
          <w:kern w:val="0"/>
          <w:szCs w:val="21"/>
        </w:rPr>
      </w:pPr>
    </w:p>
    <w:p w14:paraId="0703A0A2">
      <w:pPr>
        <w:widowControl/>
        <w:spacing w:line="360" w:lineRule="exact"/>
        <w:ind w:left="-283" w:leftChars="-135" w:right="-199" w:rightChars="-95" w:firstLine="163" w:firstLineChars="78"/>
        <w:rPr>
          <w:rFonts w:asciiTheme="minorEastAsia" w:hAnsiTheme="minorEastAsia"/>
          <w:kern w:val="0"/>
          <w:szCs w:val="21"/>
        </w:rPr>
      </w:pPr>
    </w:p>
    <w:p w14:paraId="2BBB3EFF">
      <w:pPr>
        <w:widowControl/>
        <w:spacing w:line="360" w:lineRule="exact"/>
        <w:ind w:left="-283" w:leftChars="-135" w:right="-199" w:rightChars="-95" w:firstLine="163" w:firstLineChars="78"/>
        <w:rPr>
          <w:rFonts w:asciiTheme="minorEastAsia" w:hAnsiTheme="minorEastAsia"/>
          <w:kern w:val="0"/>
          <w:szCs w:val="21"/>
        </w:rPr>
      </w:pPr>
    </w:p>
    <w:p w14:paraId="4E1C7B87">
      <w:pPr>
        <w:widowControl/>
        <w:spacing w:line="360" w:lineRule="exact"/>
        <w:ind w:left="-283" w:leftChars="-135" w:right="-199" w:rightChars="-95" w:firstLine="163" w:firstLineChars="78"/>
        <w:rPr>
          <w:rFonts w:asciiTheme="minorEastAsia" w:hAnsiTheme="minorEastAsia"/>
          <w:kern w:val="0"/>
          <w:szCs w:val="21"/>
        </w:rPr>
      </w:pPr>
    </w:p>
    <w:p w14:paraId="56785DF7">
      <w:pPr>
        <w:widowControl/>
        <w:spacing w:line="360" w:lineRule="exact"/>
        <w:ind w:left="-283" w:leftChars="-135" w:right="-199" w:rightChars="-95" w:firstLine="163" w:firstLineChars="78"/>
        <w:rPr>
          <w:rFonts w:asciiTheme="minorEastAsia" w:hAnsiTheme="minorEastAsia"/>
          <w:kern w:val="0"/>
          <w:szCs w:val="21"/>
        </w:rPr>
      </w:pPr>
    </w:p>
    <w:p w14:paraId="5FA56DE9">
      <w:pPr>
        <w:widowControl/>
        <w:spacing w:line="360" w:lineRule="exact"/>
        <w:ind w:left="-283" w:leftChars="-135" w:right="-199" w:rightChars="-95" w:firstLine="163" w:firstLineChars="78"/>
        <w:rPr>
          <w:rFonts w:asciiTheme="minorEastAsia" w:hAnsiTheme="minorEastAsia"/>
          <w:kern w:val="0"/>
          <w:szCs w:val="21"/>
        </w:rPr>
      </w:pPr>
    </w:p>
    <w:p w14:paraId="3B5EE224">
      <w:pPr>
        <w:widowControl/>
        <w:spacing w:line="360" w:lineRule="exact"/>
        <w:ind w:left="-283" w:leftChars="-135" w:right="-199" w:rightChars="-95" w:firstLine="163" w:firstLineChars="78"/>
        <w:rPr>
          <w:rFonts w:asciiTheme="minorEastAsia" w:hAnsiTheme="minorEastAsia"/>
          <w:kern w:val="0"/>
          <w:szCs w:val="21"/>
        </w:rPr>
      </w:pPr>
    </w:p>
    <w:p w14:paraId="1F119C6B">
      <w:pPr>
        <w:widowControl/>
        <w:spacing w:line="360" w:lineRule="exact"/>
        <w:ind w:left="-283" w:leftChars="-135" w:right="-199" w:rightChars="-95" w:firstLine="163" w:firstLineChars="78"/>
        <w:rPr>
          <w:rFonts w:asciiTheme="minorEastAsia" w:hAnsiTheme="minorEastAsia"/>
          <w:kern w:val="0"/>
          <w:szCs w:val="21"/>
        </w:rPr>
      </w:pPr>
    </w:p>
    <w:p w14:paraId="02DC4BCC">
      <w:pPr>
        <w:widowControl/>
        <w:spacing w:line="360" w:lineRule="exact"/>
        <w:ind w:left="-283" w:leftChars="-135" w:right="-199" w:rightChars="-95" w:firstLine="163" w:firstLineChars="78"/>
        <w:rPr>
          <w:rFonts w:asciiTheme="minorEastAsia" w:hAnsiTheme="minorEastAsia"/>
          <w:kern w:val="0"/>
          <w:szCs w:val="21"/>
        </w:rPr>
      </w:pPr>
    </w:p>
    <w:p w14:paraId="14108AD8">
      <w:pPr>
        <w:widowControl/>
        <w:spacing w:line="360" w:lineRule="exact"/>
        <w:ind w:left="-283" w:leftChars="-135" w:right="-199" w:rightChars="-95" w:firstLine="163" w:firstLineChars="78"/>
        <w:rPr>
          <w:rFonts w:asciiTheme="minorEastAsia" w:hAnsiTheme="minorEastAsia"/>
          <w:kern w:val="0"/>
          <w:szCs w:val="21"/>
        </w:rPr>
      </w:pPr>
    </w:p>
    <w:p w14:paraId="6BC3F045">
      <w:pPr>
        <w:widowControl/>
        <w:spacing w:line="360" w:lineRule="exact"/>
        <w:ind w:left="-283" w:leftChars="-135" w:right="-199" w:rightChars="-95" w:firstLine="163" w:firstLineChars="78"/>
        <w:rPr>
          <w:rFonts w:asciiTheme="minorEastAsia" w:hAnsiTheme="minorEastAsia"/>
          <w:kern w:val="0"/>
          <w:szCs w:val="21"/>
        </w:rPr>
      </w:pPr>
    </w:p>
    <w:p w14:paraId="2E422F6E">
      <w:pPr>
        <w:widowControl/>
        <w:spacing w:line="360" w:lineRule="exact"/>
        <w:ind w:left="-283" w:leftChars="-135" w:right="-199" w:rightChars="-95" w:firstLine="163" w:firstLineChars="78"/>
        <w:rPr>
          <w:rFonts w:asciiTheme="minorEastAsia" w:hAnsiTheme="minorEastAsia"/>
          <w:kern w:val="0"/>
          <w:szCs w:val="21"/>
        </w:rPr>
      </w:pPr>
    </w:p>
    <w:p w14:paraId="1E6DEC83">
      <w:pPr>
        <w:widowControl/>
        <w:spacing w:line="360" w:lineRule="exact"/>
        <w:ind w:left="-283" w:leftChars="-135" w:right="-199" w:rightChars="-95" w:firstLine="163" w:firstLineChars="78"/>
        <w:rPr>
          <w:rFonts w:asciiTheme="minorEastAsia" w:hAnsiTheme="minorEastAsia"/>
          <w:kern w:val="0"/>
          <w:szCs w:val="21"/>
        </w:rPr>
      </w:pPr>
    </w:p>
    <w:p w14:paraId="7F1DE87C">
      <w:pPr>
        <w:widowControl/>
        <w:spacing w:line="360" w:lineRule="exact"/>
        <w:ind w:left="-283" w:leftChars="-135" w:right="-199" w:rightChars="-95" w:firstLine="163" w:firstLineChars="78"/>
        <w:rPr>
          <w:rFonts w:asciiTheme="minorEastAsia" w:hAnsiTheme="minorEastAsia"/>
          <w:kern w:val="0"/>
          <w:szCs w:val="21"/>
        </w:rPr>
      </w:pPr>
    </w:p>
    <w:p w14:paraId="7B71813C">
      <w:pPr>
        <w:widowControl/>
        <w:spacing w:line="360" w:lineRule="exact"/>
        <w:ind w:left="-283" w:leftChars="-135" w:right="-199" w:rightChars="-95" w:firstLine="163" w:firstLineChars="78"/>
        <w:rPr>
          <w:rFonts w:asciiTheme="minorEastAsia" w:hAnsiTheme="minorEastAsia"/>
          <w:kern w:val="0"/>
          <w:szCs w:val="21"/>
        </w:rPr>
      </w:pPr>
    </w:p>
    <w:p w14:paraId="1D95C0F4">
      <w:pPr>
        <w:widowControl/>
        <w:spacing w:line="360" w:lineRule="exact"/>
        <w:ind w:left="-283" w:leftChars="-135" w:right="-199" w:rightChars="-95" w:firstLine="163" w:firstLineChars="78"/>
        <w:rPr>
          <w:rFonts w:asciiTheme="minorEastAsia" w:hAnsiTheme="minorEastAsia"/>
          <w:kern w:val="0"/>
          <w:szCs w:val="21"/>
        </w:rPr>
      </w:pPr>
    </w:p>
    <w:p w14:paraId="5620CBB8">
      <w:pPr>
        <w:widowControl/>
        <w:spacing w:line="360" w:lineRule="exact"/>
        <w:ind w:left="-283" w:leftChars="-135" w:right="-199" w:rightChars="-95" w:firstLine="163" w:firstLineChars="78"/>
        <w:rPr>
          <w:rFonts w:asciiTheme="minorEastAsia" w:hAnsiTheme="minorEastAsia"/>
          <w:kern w:val="0"/>
          <w:szCs w:val="21"/>
        </w:rPr>
      </w:pPr>
    </w:p>
    <w:p w14:paraId="3169F5D9">
      <w:pPr>
        <w:widowControl/>
        <w:spacing w:line="360" w:lineRule="exact"/>
        <w:ind w:left="-283" w:leftChars="-135" w:right="-199" w:rightChars="-95" w:firstLine="163" w:firstLineChars="78"/>
        <w:rPr>
          <w:rFonts w:asciiTheme="minorEastAsia" w:hAnsiTheme="minorEastAsia"/>
          <w:kern w:val="0"/>
          <w:szCs w:val="21"/>
        </w:rPr>
      </w:pPr>
    </w:p>
    <w:p w14:paraId="0CF64A43">
      <w:pPr>
        <w:widowControl/>
        <w:spacing w:line="360" w:lineRule="exact"/>
        <w:ind w:left="-283" w:leftChars="-135" w:right="-199" w:rightChars="-95" w:firstLine="163" w:firstLineChars="78"/>
        <w:rPr>
          <w:rFonts w:asciiTheme="minorEastAsia" w:hAnsiTheme="minorEastAsia"/>
          <w:kern w:val="0"/>
          <w:szCs w:val="21"/>
        </w:rPr>
      </w:pPr>
    </w:p>
    <w:p w14:paraId="74E249B5">
      <w:pPr>
        <w:widowControl/>
        <w:spacing w:line="360" w:lineRule="exact"/>
        <w:ind w:left="-283" w:leftChars="-135" w:right="-199" w:rightChars="-95" w:firstLine="163" w:firstLineChars="78"/>
        <w:rPr>
          <w:rFonts w:asciiTheme="minorEastAsia" w:hAnsiTheme="minorEastAsia"/>
          <w:kern w:val="0"/>
          <w:szCs w:val="21"/>
        </w:rPr>
      </w:pPr>
    </w:p>
    <w:p w14:paraId="14D4B85D">
      <w:pPr>
        <w:widowControl/>
        <w:spacing w:line="360" w:lineRule="exact"/>
        <w:ind w:left="-283" w:leftChars="-135" w:right="-199" w:rightChars="-95" w:firstLine="163" w:firstLineChars="78"/>
        <w:rPr>
          <w:rFonts w:asciiTheme="minorEastAsia" w:hAnsiTheme="minorEastAsia"/>
          <w:kern w:val="0"/>
          <w:szCs w:val="21"/>
        </w:rPr>
      </w:pPr>
    </w:p>
    <w:p w14:paraId="101365EF">
      <w:pPr>
        <w:widowControl/>
        <w:spacing w:line="360" w:lineRule="exact"/>
        <w:ind w:left="-283" w:leftChars="-135" w:right="-199" w:rightChars="-95" w:firstLine="163" w:firstLineChars="78"/>
        <w:rPr>
          <w:rFonts w:asciiTheme="minorEastAsia" w:hAnsiTheme="minorEastAsia"/>
          <w:kern w:val="0"/>
          <w:szCs w:val="21"/>
        </w:rPr>
      </w:pPr>
    </w:p>
    <w:p w14:paraId="04770AFA">
      <w:pPr>
        <w:widowControl/>
        <w:spacing w:line="360" w:lineRule="exact"/>
        <w:ind w:right="-199" w:rightChars="-95"/>
        <w:rPr>
          <w:rFonts w:asciiTheme="minorEastAsia" w:hAnsiTheme="minorEastAsia"/>
          <w:kern w:val="0"/>
          <w:szCs w:val="21"/>
        </w:rPr>
      </w:pPr>
    </w:p>
    <w:p w14:paraId="6A8A067B">
      <w:pPr>
        <w:widowControl/>
        <w:snapToGrid w:val="0"/>
        <w:spacing w:line="560" w:lineRule="exact"/>
        <w:ind w:left="-283" w:leftChars="-135" w:right="-199" w:rightChars="-95" w:firstLine="280" w:firstLineChars="78"/>
        <w:jc w:val="center"/>
        <w:rPr>
          <w:rFonts w:ascii="方正小标宋简体" w:eastAsia="方正小标宋简体" w:cs="微软简标宋"/>
          <w:bCs/>
          <w:sz w:val="36"/>
          <w:szCs w:val="36"/>
        </w:rPr>
      </w:pPr>
      <w:r>
        <w:rPr>
          <w:rFonts w:hint="eastAsia" w:ascii="方正小标宋简体" w:eastAsia="方正小标宋简体" w:cs="微软简标宋"/>
          <w:bCs/>
          <w:sz w:val="36"/>
          <w:szCs w:val="36"/>
          <w:highlight w:val="none"/>
        </w:rPr>
        <w:t>交易须知</w:t>
      </w:r>
    </w:p>
    <w:p w14:paraId="3BF057C8">
      <w:pPr>
        <w:widowControl/>
        <w:snapToGrid w:val="0"/>
        <w:spacing w:line="320" w:lineRule="exact"/>
        <w:ind w:right="-199" w:rightChars="-95" w:firstLine="164" w:firstLineChars="78"/>
        <w:jc w:val="left"/>
        <w:rPr>
          <w:rFonts w:ascii="宋体" w:hAnsi="宋体" w:eastAsia="宋体" w:cs="Times New Roman"/>
          <w:b/>
          <w:color w:val="000000"/>
          <w:kern w:val="0"/>
          <w:szCs w:val="21"/>
        </w:rPr>
      </w:pPr>
      <w:r>
        <w:rPr>
          <w:rFonts w:hint="eastAsia" w:ascii="宋体" w:hAnsi="宋体" w:eastAsia="宋体" w:cs="Times New Roman"/>
          <w:b/>
          <w:color w:val="000000"/>
          <w:kern w:val="0"/>
          <w:szCs w:val="21"/>
        </w:rPr>
        <w:t>特别提示：该《交易须知》仅适用于交易方式为网络竞价（含动态报价）的资产转让项目。</w:t>
      </w:r>
    </w:p>
    <w:p w14:paraId="596B53E8">
      <w:pPr>
        <w:widowControl/>
        <w:adjustRightInd w:val="0"/>
        <w:snapToGrid w:val="0"/>
        <w:spacing w:line="360" w:lineRule="exact"/>
        <w:ind w:left="-283" w:leftChars="-135" w:right="-199" w:rightChars="-95" w:firstLine="187" w:firstLineChars="78"/>
        <w:jc w:val="center"/>
        <w:rPr>
          <w:rFonts w:ascii="宋体" w:hAnsi="宋体" w:cs="仿宋_GB2312"/>
          <w:sz w:val="24"/>
          <w:szCs w:val="24"/>
        </w:rPr>
      </w:pPr>
    </w:p>
    <w:p w14:paraId="4A8F928B">
      <w:pPr>
        <w:numPr>
          <w:ilvl w:val="0"/>
          <w:numId w:val="0"/>
        </w:numPr>
        <w:adjustRightInd w:val="0"/>
        <w:snapToGrid w:val="0"/>
        <w:spacing w:line="360" w:lineRule="exact"/>
        <w:ind w:firstLine="420" w:firstLineChars="200"/>
        <w:jc w:val="left"/>
        <w:rPr>
          <w:rFonts w:asciiTheme="minorEastAsia" w:hAnsiTheme="minorEastAsia"/>
          <w:color w:val="000000" w:themeColor="text1"/>
          <w:szCs w:val="21"/>
          <w14:textFill>
            <w14:solidFill>
              <w14:schemeClr w14:val="tx1"/>
            </w14:solidFill>
          </w14:textFill>
        </w:rPr>
      </w:pPr>
      <w:r>
        <w:rPr>
          <w:rFonts w:hint="eastAsia" w:asciiTheme="minorEastAsia" w:hAnsiTheme="minorEastAsia" w:eastAsiaTheme="minorEastAsia" w:cstheme="minorBidi"/>
          <w:color w:val="000000" w:themeColor="text1"/>
          <w:kern w:val="2"/>
          <w:sz w:val="21"/>
          <w:szCs w:val="21"/>
          <w:lang w:val="en-US" w:eastAsia="zh-CN" w:bidi="ar-SA"/>
          <w14:textFill>
            <w14:solidFill>
              <w14:schemeClr w14:val="tx1"/>
            </w14:solidFill>
          </w14:textFill>
        </w:rPr>
        <w:t>一、</w:t>
      </w:r>
      <w:r>
        <w:rPr>
          <w:rFonts w:hint="eastAsia" w:asciiTheme="minorEastAsia" w:hAnsiTheme="minorEastAsia"/>
          <w:color w:val="000000" w:themeColor="text1"/>
          <w:szCs w:val="21"/>
          <w14:textFill>
            <w14:solidFill>
              <w14:schemeClr w14:val="tx1"/>
            </w14:solidFill>
          </w14:textFill>
        </w:rPr>
        <w:t>本项目《交易须知》（以下简称“《须知》”）依据《</w:t>
      </w:r>
      <w:r>
        <w:rPr>
          <w:rFonts w:hint="eastAsia" w:asciiTheme="minorEastAsia" w:hAnsiTheme="minorEastAsia"/>
          <w:color w:val="000000" w:themeColor="text1"/>
          <w:szCs w:val="21"/>
          <w:lang w:eastAsia="zh-CN"/>
          <w14:textFill>
            <w14:solidFill>
              <w14:schemeClr w14:val="tx1"/>
            </w14:solidFill>
          </w14:textFill>
        </w:rPr>
        <w:t>山东文化产权交易所</w:t>
      </w:r>
      <w:r>
        <w:rPr>
          <w:rFonts w:hint="eastAsia" w:asciiTheme="minorEastAsia" w:hAnsiTheme="minorEastAsia"/>
          <w:color w:val="000000" w:themeColor="text1"/>
          <w:szCs w:val="21"/>
          <w14:textFill>
            <w14:solidFill>
              <w14:schemeClr w14:val="tx1"/>
            </w14:solidFill>
          </w14:textFill>
        </w:rPr>
        <w:t>资产交易规则》</w:t>
      </w:r>
      <w:r>
        <w:rPr>
          <w:rFonts w:hint="eastAsia" w:asciiTheme="minorEastAsia" w:hAnsiTheme="minorEastAsia"/>
          <w:color w:val="auto"/>
          <w:szCs w:val="21"/>
        </w:rPr>
        <w:t>制定。适用于交易方式为网络竞价或动态报价的资产转让项目。</w:t>
      </w:r>
    </w:p>
    <w:p w14:paraId="0BD1EF54">
      <w:pPr>
        <w:widowControl/>
        <w:spacing w:line="360" w:lineRule="exact"/>
        <w:ind w:firstLine="420" w:firstLineChars="200"/>
        <w:jc w:val="left"/>
        <w:rPr>
          <w:rFonts w:cs="宋体" w:asciiTheme="minorEastAsia" w:hAnsiTheme="minorEastAsia"/>
          <w:color w:val="auto"/>
          <w:kern w:val="0"/>
          <w:szCs w:val="21"/>
        </w:rPr>
      </w:pPr>
      <w:r>
        <w:rPr>
          <w:rFonts w:hint="eastAsia" w:cs="宋体" w:asciiTheme="minorEastAsia" w:hAnsiTheme="minorEastAsia"/>
          <w:kern w:val="0"/>
          <w:szCs w:val="21"/>
        </w:rPr>
        <w:t>二、本项目转让方决定通过转让公告（以下所指公告均以山东产权交易</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网站</w:t>
      </w:r>
      <w:r>
        <w:rPr>
          <w:rFonts w:ascii="宋体" w:hAnsi="宋体" w:eastAsia="宋体" w:cs="宋体"/>
          <w:sz w:val="21"/>
        </w:rPr>
        <w:t>www.sdcaee.com</w:t>
      </w:r>
      <w:r>
        <w:rPr>
          <w:rFonts w:ascii="宋体" w:hAnsi="宋体" w:eastAsia="宋体" w:cs="宋体"/>
          <w:spacing w:val="-2"/>
          <w:sz w:val="21"/>
        </w:rPr>
        <w:t xml:space="preserve"> </w:t>
      </w:r>
      <w:r>
        <w:rPr>
          <w:rFonts w:hint="eastAsia" w:cs="宋体" w:asciiTheme="minorEastAsia" w:hAnsiTheme="minorEastAsia"/>
          <w:kern w:val="0"/>
          <w:szCs w:val="21"/>
        </w:rPr>
        <w:t>披露内容为准）披露的交易方式确定受让方，本次网络竞价活动（含动态报价）由</w:t>
      </w:r>
      <w:r>
        <w:rPr>
          <w:rFonts w:hint="eastAsia" w:cs="宋体" w:asciiTheme="minorEastAsia" w:hAnsiTheme="minorEastAsia"/>
          <w:kern w:val="0"/>
          <w:szCs w:val="21"/>
          <w:lang w:eastAsia="zh-CN"/>
        </w:rPr>
        <w:t>山东文化产权交易所</w:t>
      </w:r>
      <w:r>
        <w:rPr>
          <w:rFonts w:hint="eastAsia" w:cs="宋体" w:asciiTheme="minorEastAsia" w:hAnsiTheme="minorEastAsia"/>
          <w:kern w:val="0"/>
          <w:szCs w:val="21"/>
        </w:rPr>
        <w:t>（以下简称“</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”）组织实施。</w:t>
      </w:r>
      <w:r>
        <w:rPr>
          <w:rFonts w:hint="eastAsia" w:cs="宋体" w:asciiTheme="minorEastAsia" w:hAnsiTheme="minorEastAsia"/>
          <w:color w:val="auto"/>
          <w:kern w:val="0"/>
          <w:szCs w:val="21"/>
        </w:rPr>
        <w:t>公告期满后，只产生一个符合条件的意向受让方的，</w:t>
      </w:r>
      <w:r>
        <w:rPr>
          <w:rFonts w:hint="eastAsia" w:cs="宋体" w:asciiTheme="minorEastAsia" w:hAnsiTheme="minorEastAsia"/>
          <w:color w:val="auto"/>
          <w:kern w:val="0"/>
          <w:szCs w:val="21"/>
          <w:lang w:eastAsia="zh-CN"/>
        </w:rPr>
        <w:t>文交所</w:t>
      </w:r>
      <w:r>
        <w:rPr>
          <w:rFonts w:hint="eastAsia" w:cs="宋体" w:asciiTheme="minorEastAsia" w:hAnsiTheme="minorEastAsia"/>
          <w:color w:val="auto"/>
          <w:kern w:val="0"/>
          <w:szCs w:val="21"/>
        </w:rPr>
        <w:t>采取协议方式组织交易；产生两个及以上符合条件的意向受让方的，</w:t>
      </w:r>
      <w:r>
        <w:rPr>
          <w:rFonts w:hint="eastAsia" w:cs="宋体" w:asciiTheme="minorEastAsia" w:hAnsiTheme="minorEastAsia"/>
          <w:color w:val="auto"/>
          <w:kern w:val="0"/>
          <w:szCs w:val="21"/>
          <w:lang w:eastAsia="zh-CN"/>
        </w:rPr>
        <w:t>文交所</w:t>
      </w:r>
      <w:r>
        <w:rPr>
          <w:rFonts w:hint="eastAsia" w:cs="宋体" w:asciiTheme="minorEastAsia" w:hAnsiTheme="minorEastAsia"/>
          <w:color w:val="auto"/>
          <w:kern w:val="0"/>
          <w:szCs w:val="21"/>
        </w:rPr>
        <w:t>采取竞价方式组织交易。</w:t>
      </w:r>
    </w:p>
    <w:p w14:paraId="322454A9">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kern w:val="0"/>
          <w:szCs w:val="21"/>
        </w:rPr>
        <w:t>三、</w:t>
      </w:r>
      <w:r>
        <w:rPr>
          <w:rFonts w:ascii="宋体" w:hAnsi="宋体" w:eastAsia="宋体" w:cs="宋体"/>
          <w:spacing w:val="-2"/>
          <w:sz w:val="21"/>
        </w:rPr>
        <w:t>意</w:t>
      </w:r>
      <w:r>
        <w:rPr>
          <w:rFonts w:ascii="宋体" w:hAnsi="宋体" w:eastAsia="宋体" w:cs="宋体"/>
          <w:sz w:val="21"/>
        </w:rPr>
        <w:t>向</w:t>
      </w:r>
      <w:r>
        <w:rPr>
          <w:rFonts w:ascii="宋体" w:hAnsi="宋体" w:eastAsia="宋体" w:cs="宋体"/>
          <w:spacing w:val="-2"/>
          <w:sz w:val="21"/>
        </w:rPr>
        <w:t>受</w:t>
      </w:r>
      <w:r>
        <w:rPr>
          <w:rFonts w:ascii="宋体" w:hAnsi="宋体" w:eastAsia="宋体" w:cs="宋体"/>
          <w:sz w:val="21"/>
        </w:rPr>
        <w:t>让</w:t>
      </w:r>
      <w:r>
        <w:rPr>
          <w:rFonts w:ascii="宋体" w:hAnsi="宋体" w:eastAsia="宋体" w:cs="宋体"/>
          <w:spacing w:val="-2"/>
          <w:sz w:val="21"/>
        </w:rPr>
        <w:t>方</w:t>
      </w:r>
      <w:r>
        <w:rPr>
          <w:rFonts w:ascii="宋体" w:hAnsi="宋体" w:eastAsia="宋体" w:cs="宋体"/>
          <w:sz w:val="21"/>
        </w:rPr>
        <w:t>应</w:t>
      </w:r>
      <w:r>
        <w:rPr>
          <w:rFonts w:ascii="宋体" w:hAnsi="宋体" w:eastAsia="宋体" w:cs="宋体"/>
          <w:spacing w:val="-2"/>
          <w:sz w:val="21"/>
        </w:rPr>
        <w:t>按</w:t>
      </w:r>
      <w:r>
        <w:rPr>
          <w:rFonts w:ascii="宋体" w:hAnsi="宋体" w:eastAsia="宋体" w:cs="宋体"/>
          <w:sz w:val="21"/>
        </w:rPr>
        <w:t>公</w:t>
      </w:r>
      <w:r>
        <w:rPr>
          <w:rFonts w:ascii="宋体" w:hAnsi="宋体" w:eastAsia="宋体" w:cs="宋体"/>
          <w:spacing w:val="-2"/>
          <w:sz w:val="21"/>
        </w:rPr>
        <w:t>告</w:t>
      </w:r>
      <w:r>
        <w:rPr>
          <w:rFonts w:ascii="宋体" w:hAnsi="宋体" w:eastAsia="宋体" w:cs="宋体"/>
          <w:sz w:val="21"/>
        </w:rPr>
        <w:t>要求</w:t>
      </w:r>
      <w:r>
        <w:rPr>
          <w:rFonts w:ascii="宋体" w:hAnsi="宋体" w:eastAsia="宋体" w:cs="宋体"/>
          <w:spacing w:val="-2"/>
          <w:sz w:val="21"/>
        </w:rPr>
        <w:t>的</w:t>
      </w:r>
      <w:r>
        <w:rPr>
          <w:rFonts w:ascii="宋体" w:hAnsi="宋体" w:eastAsia="宋体" w:cs="宋体"/>
          <w:sz w:val="21"/>
        </w:rPr>
        <w:t>有</w:t>
      </w:r>
      <w:r>
        <w:rPr>
          <w:rFonts w:ascii="宋体" w:hAnsi="宋体" w:eastAsia="宋体" w:cs="宋体"/>
          <w:spacing w:val="-2"/>
          <w:sz w:val="21"/>
        </w:rPr>
        <w:t>效</w:t>
      </w:r>
      <w:r>
        <w:rPr>
          <w:rFonts w:ascii="宋体" w:hAnsi="宋体" w:eastAsia="宋体" w:cs="宋体"/>
          <w:sz w:val="21"/>
        </w:rPr>
        <w:t>报</w:t>
      </w:r>
      <w:r>
        <w:rPr>
          <w:rFonts w:ascii="宋体" w:hAnsi="宋体" w:eastAsia="宋体" w:cs="宋体"/>
          <w:spacing w:val="-2"/>
          <w:sz w:val="21"/>
        </w:rPr>
        <w:t>名</w:t>
      </w:r>
      <w:r>
        <w:rPr>
          <w:rFonts w:ascii="宋体" w:hAnsi="宋体" w:eastAsia="宋体" w:cs="宋体"/>
          <w:sz w:val="21"/>
        </w:rPr>
        <w:t>时</w:t>
      </w:r>
      <w:r>
        <w:rPr>
          <w:rFonts w:ascii="宋体" w:hAnsi="宋体" w:eastAsia="宋体" w:cs="宋体"/>
          <w:spacing w:val="-2"/>
          <w:sz w:val="21"/>
        </w:rPr>
        <w:t>间</w:t>
      </w:r>
      <w:r>
        <w:rPr>
          <w:rFonts w:ascii="宋体" w:hAnsi="宋体" w:eastAsia="宋体" w:cs="宋体"/>
          <w:sz w:val="21"/>
        </w:rPr>
        <w:t>段</w:t>
      </w:r>
      <w:r>
        <w:rPr>
          <w:rFonts w:ascii="宋体" w:hAnsi="宋体" w:eastAsia="宋体" w:cs="宋体"/>
          <w:spacing w:val="-2"/>
          <w:sz w:val="21"/>
        </w:rPr>
        <w:t>内</w:t>
      </w:r>
      <w:r>
        <w:rPr>
          <w:rFonts w:ascii="宋体" w:hAnsi="宋体" w:eastAsia="宋体" w:cs="宋体"/>
          <w:sz w:val="21"/>
        </w:rPr>
        <w:t>自行</w:t>
      </w:r>
      <w:r>
        <w:rPr>
          <w:rFonts w:hint="eastAsia" w:ascii="宋体" w:hAnsi="宋体" w:eastAsia="宋体" w:cs="宋体"/>
          <w:spacing w:val="-2"/>
          <w:sz w:val="21"/>
        </w:rPr>
        <w:t>到文交所</w:t>
      </w:r>
      <w:r>
        <w:rPr>
          <w:rFonts w:ascii="宋体" w:hAnsi="宋体" w:eastAsia="宋体" w:cs="宋体"/>
          <w:spacing w:val="-2"/>
          <w:sz w:val="21"/>
        </w:rPr>
        <w:t>办</w:t>
      </w:r>
      <w:r>
        <w:rPr>
          <w:rFonts w:ascii="宋体" w:hAnsi="宋体" w:eastAsia="宋体" w:cs="宋体"/>
          <w:sz w:val="21"/>
        </w:rPr>
        <w:t>理</w:t>
      </w:r>
      <w:r>
        <w:rPr>
          <w:rFonts w:ascii="宋体" w:hAnsi="宋体" w:eastAsia="宋体" w:cs="宋体"/>
          <w:spacing w:val="-2"/>
          <w:sz w:val="21"/>
        </w:rPr>
        <w:t>报</w:t>
      </w:r>
      <w:r>
        <w:rPr>
          <w:rFonts w:ascii="宋体" w:hAnsi="宋体" w:eastAsia="宋体" w:cs="宋体"/>
          <w:sz w:val="21"/>
        </w:rPr>
        <w:t>名</w:t>
      </w:r>
      <w:r>
        <w:rPr>
          <w:rFonts w:ascii="宋体" w:hAnsi="宋体" w:eastAsia="宋体" w:cs="宋体"/>
          <w:spacing w:val="-2"/>
          <w:sz w:val="21"/>
        </w:rPr>
        <w:t>登</w:t>
      </w:r>
      <w:r>
        <w:rPr>
          <w:rFonts w:ascii="宋体" w:hAnsi="宋体" w:eastAsia="宋体" w:cs="宋体"/>
          <w:sz w:val="21"/>
        </w:rPr>
        <w:t>记</w:t>
      </w:r>
      <w:r>
        <w:rPr>
          <w:rFonts w:ascii="宋体" w:hAnsi="宋体" w:eastAsia="宋体" w:cs="宋体"/>
          <w:spacing w:val="-2"/>
          <w:sz w:val="21"/>
        </w:rPr>
        <w:t>手</w:t>
      </w:r>
      <w:r>
        <w:rPr>
          <w:rFonts w:ascii="宋体" w:hAnsi="宋体" w:eastAsia="宋体" w:cs="宋体"/>
          <w:sz w:val="21"/>
        </w:rPr>
        <w:t>续</w:t>
      </w:r>
      <w:r>
        <w:rPr>
          <w:rFonts w:ascii="宋体" w:hAnsi="宋体" w:eastAsia="宋体" w:cs="宋体"/>
          <w:spacing w:val="-2"/>
          <w:sz w:val="21"/>
        </w:rPr>
        <w:t>，</w:t>
      </w:r>
      <w:r>
        <w:rPr>
          <w:rFonts w:ascii="宋体" w:hAnsi="宋体" w:eastAsia="宋体" w:cs="宋体"/>
          <w:sz w:val="21"/>
        </w:rPr>
        <w:t>并按照公告的提示提交报名材料，逾期未按规定提交报名材料的，视为放弃受让资格。</w:t>
      </w:r>
    </w:p>
    <w:p w14:paraId="42E526A7">
      <w:pPr>
        <w:widowControl/>
        <w:adjustRightInd w:val="0"/>
        <w:snapToGrid w:val="0"/>
        <w:spacing w:line="360" w:lineRule="exact"/>
        <w:ind w:firstLine="420" w:firstLineChars="200"/>
        <w:jc w:val="left"/>
        <w:rPr>
          <w:rFonts w:ascii="宋体" w:hAnsi="宋体" w:eastAsia="宋体" w:cs="宋体"/>
          <w:color w:val="auto"/>
          <w:kern w:val="0"/>
          <w:szCs w:val="21"/>
        </w:rPr>
      </w:pPr>
      <w:r>
        <w:rPr>
          <w:rFonts w:hint="eastAsia" w:cs="宋体" w:asciiTheme="minorEastAsia" w:hAnsiTheme="minorEastAsia"/>
          <w:kern w:val="0"/>
          <w:szCs w:val="21"/>
        </w:rPr>
        <w:t>四、</w:t>
      </w:r>
      <w:r>
        <w:rPr>
          <w:rFonts w:hint="eastAsia" w:ascii="宋体" w:hAnsi="宋体" w:eastAsia="宋体" w:cs="宋体"/>
          <w:kern w:val="0"/>
          <w:szCs w:val="21"/>
        </w:rPr>
        <w:t>意向受让方应于挂牌截止日17时前交纳本项目保证金到</w:t>
      </w:r>
      <w:r>
        <w:rPr>
          <w:rFonts w:hint="eastAsia" w:ascii="宋体" w:hAnsi="宋体" w:eastAsia="宋体" w:cs="宋体"/>
          <w:kern w:val="0"/>
          <w:szCs w:val="21"/>
          <w:lang w:eastAsia="zh-CN"/>
        </w:rPr>
        <w:t>文交所</w:t>
      </w:r>
      <w:r>
        <w:rPr>
          <w:rFonts w:hint="eastAsia" w:ascii="宋体" w:hAnsi="宋体" w:eastAsia="宋体" w:cs="宋体"/>
          <w:kern w:val="0"/>
          <w:szCs w:val="21"/>
        </w:rPr>
        <w:t>指定账</w:t>
      </w:r>
      <w:r>
        <w:rPr>
          <w:rFonts w:hint="eastAsia" w:ascii="宋体" w:hAnsi="宋体" w:eastAsia="宋体" w:cs="宋体"/>
          <w:color w:val="auto"/>
          <w:kern w:val="0"/>
          <w:szCs w:val="21"/>
        </w:rPr>
        <w:t>户</w:t>
      </w:r>
      <w:r>
        <w:rPr>
          <w:rFonts w:hint="eastAsia" w:cs="宋体" w:asciiTheme="minorEastAsia" w:hAnsiTheme="minorEastAsia"/>
          <w:color w:val="0000FF"/>
          <w:kern w:val="0"/>
          <w:szCs w:val="21"/>
          <w:highlight w:val="none"/>
        </w:rPr>
        <w:t>（</w:t>
      </w:r>
      <w:r>
        <w:rPr>
          <w:rFonts w:ascii="宋体" w:hAnsi="宋体" w:eastAsia="宋体" w:cs="宋体"/>
          <w:sz w:val="21"/>
        </w:rPr>
        <w:t>以银行到账时间为准</w:t>
      </w:r>
      <w:r>
        <w:rPr>
          <w:rFonts w:hint="eastAsia" w:cs="宋体" w:asciiTheme="minorEastAsia" w:hAnsiTheme="minorEastAsia"/>
          <w:color w:val="0000FF"/>
          <w:kern w:val="0"/>
          <w:szCs w:val="21"/>
          <w:highlight w:val="none"/>
        </w:rPr>
        <w:t>），</w:t>
      </w:r>
      <w:r>
        <w:rPr>
          <w:rFonts w:hint="eastAsia" w:ascii="宋体" w:hAnsi="宋体" w:eastAsia="宋体" w:cs="宋体"/>
          <w:color w:val="auto"/>
          <w:kern w:val="0"/>
          <w:szCs w:val="21"/>
        </w:rPr>
        <w:t>保证金未按规定时间到账的，视为放弃受让资格。本项目保证金金额详见网站公告，账户信息以交易系统推送的收款账号为准。</w:t>
      </w:r>
    </w:p>
    <w:p w14:paraId="0A5B91F4">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五、</w:t>
      </w:r>
      <w:r>
        <w:rPr>
          <w:rFonts w:hint="eastAsia" w:ascii="宋体" w:hAnsi="宋体" w:eastAsia="宋体" w:cs="宋体"/>
          <w:color w:val="000000"/>
          <w:kern w:val="0"/>
          <w:szCs w:val="21"/>
        </w:rPr>
        <w:t>参加本项目网络竞</w:t>
      </w:r>
      <w:r>
        <w:rPr>
          <w:rFonts w:hint="eastAsia" w:ascii="宋体" w:hAnsi="宋体" w:eastAsia="宋体" w:cs="宋体"/>
          <w:color w:val="auto"/>
          <w:kern w:val="0"/>
          <w:szCs w:val="21"/>
        </w:rPr>
        <w:t>价（含动态报价）的竞买人（已交纳本项目保证金并经</w:t>
      </w:r>
      <w:r>
        <w:rPr>
          <w:rFonts w:hint="eastAsia" w:ascii="宋体" w:hAnsi="宋体" w:eastAsia="宋体" w:cs="宋体"/>
          <w:color w:val="auto"/>
          <w:kern w:val="0"/>
          <w:szCs w:val="21"/>
          <w:lang w:eastAsia="zh-CN"/>
        </w:rPr>
        <w:t>文交所</w:t>
      </w:r>
      <w:r>
        <w:rPr>
          <w:rFonts w:hint="eastAsia" w:ascii="宋体" w:hAnsi="宋体" w:eastAsia="宋体" w:cs="宋体"/>
          <w:color w:val="auto"/>
          <w:kern w:val="0"/>
          <w:szCs w:val="21"/>
        </w:rPr>
        <w:t>审</w:t>
      </w:r>
      <w:r>
        <w:rPr>
          <w:rFonts w:hint="eastAsia" w:ascii="宋体" w:hAnsi="宋体" w:eastAsia="宋体" w:cs="宋体"/>
          <w:kern w:val="0"/>
          <w:szCs w:val="21"/>
        </w:rPr>
        <w:t>核通过的意向受让方）</w:t>
      </w:r>
      <w:r>
        <w:rPr>
          <w:rFonts w:hint="eastAsia" w:ascii="宋体" w:hAnsi="宋体" w:eastAsia="宋体" w:cs="宋体"/>
          <w:color w:val="000000"/>
          <w:kern w:val="0"/>
          <w:szCs w:val="21"/>
        </w:rPr>
        <w:t>，应已了解并遵守《</w:t>
      </w:r>
      <w:r>
        <w:rPr>
          <w:rFonts w:hint="eastAsia" w:ascii="宋体" w:hAnsi="宋体" w:eastAsia="宋体" w:cs="宋体"/>
          <w:color w:val="000000"/>
          <w:kern w:val="0"/>
          <w:szCs w:val="21"/>
          <w:lang w:eastAsia="zh-CN"/>
        </w:rPr>
        <w:t>山东文化产权交易所</w:t>
      </w:r>
      <w:r>
        <w:rPr>
          <w:rFonts w:hint="eastAsia" w:ascii="宋体" w:hAnsi="宋体" w:eastAsia="宋体" w:cs="宋体"/>
          <w:color w:val="000000"/>
          <w:kern w:val="0"/>
          <w:szCs w:val="21"/>
        </w:rPr>
        <w:t>资产交易规则》的规定，认真阅读了本《须知》并承诺接受其全部内容。</w:t>
      </w:r>
    </w:p>
    <w:p w14:paraId="457DD6B4">
      <w:pPr>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六、竞买人应于网络竞价活动开始前，登录</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网站（</w:t>
      </w:r>
      <w:r>
        <w:rPr>
          <w:rFonts w:ascii="宋体" w:hAnsi="宋体" w:eastAsia="宋体" w:cs="宋体"/>
          <w:sz w:val="21"/>
        </w:rPr>
        <w:t>www.sdcaee.com</w:t>
      </w:r>
      <w:r>
        <w:rPr>
          <w:rFonts w:ascii="宋体" w:hAnsi="宋体" w:eastAsia="宋体" w:cs="宋体"/>
          <w:spacing w:val="-2"/>
          <w:sz w:val="21"/>
        </w:rPr>
        <w:t xml:space="preserve"> </w:t>
      </w:r>
      <w:r>
        <w:rPr>
          <w:rFonts w:hint="eastAsia" w:cs="宋体" w:asciiTheme="minorEastAsia" w:hAnsiTheme="minorEastAsia"/>
          <w:color w:val="000000" w:themeColor="text1"/>
          <w:kern w:val="0"/>
          <w:szCs w:val="21"/>
          <w14:textFill>
            <w14:solidFill>
              <w14:schemeClr w14:val="tx1"/>
            </w14:solidFill>
          </w14:textFill>
        </w:rPr>
        <w:t>）了解并掌握相关操作规程。</w:t>
      </w:r>
    </w:p>
    <w:p w14:paraId="27E450A4">
      <w:pPr>
        <w:widowControl/>
        <w:adjustRightInd w:val="0"/>
        <w:snapToGrid w:val="0"/>
        <w:spacing w:line="360" w:lineRule="exact"/>
        <w:ind w:firstLine="420" w:firstLineChars="200"/>
        <w:jc w:val="left"/>
        <w:rPr>
          <w:rFonts w:asciiTheme="minorEastAsia" w:hAnsiTheme="minorEastAsia"/>
          <w:szCs w:val="21"/>
        </w:rPr>
      </w:pPr>
      <w:r>
        <w:rPr>
          <w:rFonts w:hint="eastAsia" w:cs="宋体" w:asciiTheme="minorEastAsia" w:hAnsiTheme="minorEastAsia"/>
          <w:color w:val="000000" w:themeColor="text1"/>
          <w:kern w:val="0"/>
          <w:szCs w:val="21"/>
          <w14:textFill>
            <w14:solidFill>
              <w14:schemeClr w14:val="tx1"/>
            </w14:solidFill>
          </w14:textFill>
        </w:rPr>
        <w:t>七、本项目标的信息详情详见网站披露信息。</w:t>
      </w:r>
      <w:r>
        <w:rPr>
          <w:rFonts w:hint="eastAsia" w:asciiTheme="minorEastAsia" w:hAnsiTheme="minorEastAsia"/>
          <w:szCs w:val="21"/>
          <w:lang w:eastAsia="zh-CN"/>
        </w:rPr>
        <w:t>文交所</w:t>
      </w:r>
      <w:r>
        <w:rPr>
          <w:rFonts w:hint="eastAsia" w:asciiTheme="minorEastAsia" w:hAnsiTheme="minorEastAsia"/>
          <w:szCs w:val="21"/>
        </w:rPr>
        <w:t>按转让方要求进行标的图片、名称、文字描述及实物信息等内容发布，仅对信息进行形式审核，不保证交易信息的真实性、完整性和有效性，不保证交易标的名称、图片、描述与实物相符，不对标的质量、材质和使用性能等做任何担保。</w:t>
      </w:r>
    </w:p>
    <w:p w14:paraId="632C0596">
      <w:pPr>
        <w:widowControl/>
        <w:adjustRightInd w:val="0"/>
        <w:snapToGrid w:val="0"/>
        <w:spacing w:line="360" w:lineRule="exact"/>
        <w:ind w:firstLine="420" w:firstLineChars="200"/>
        <w:jc w:val="left"/>
        <w:rPr>
          <w:rFonts w:asciiTheme="minorEastAsia" w:hAnsiTheme="minorEastAsia"/>
          <w:szCs w:val="21"/>
        </w:rPr>
      </w:pPr>
      <w:r>
        <w:rPr>
          <w:rFonts w:hint="eastAsia" w:asciiTheme="minorEastAsia" w:hAnsiTheme="minorEastAsia"/>
          <w:szCs w:val="21"/>
        </w:rPr>
        <w:t>八、</w:t>
      </w:r>
      <w:r>
        <w:rPr>
          <w:rFonts w:hint="eastAsia" w:ascii="宋体" w:hAnsi="宋体" w:eastAsia="宋体" w:cs="Times New Roman"/>
          <w:szCs w:val="21"/>
        </w:rPr>
        <w:t>意向受让方应自行勘察（包括但不限于查阅由转让方提供的标的相关的档案文件）交易标的实物，并认可本项目转让公告（以下所指公告均以</w:t>
      </w:r>
      <w:r>
        <w:rPr>
          <w:rFonts w:hint="eastAsia" w:ascii="宋体" w:hAnsi="宋体" w:eastAsia="宋体" w:cs="Times New Roman"/>
          <w:szCs w:val="21"/>
          <w:lang w:eastAsia="zh-CN"/>
        </w:rPr>
        <w:t>文交所</w:t>
      </w:r>
      <w:r>
        <w:rPr>
          <w:rFonts w:hint="eastAsia" w:ascii="宋体" w:hAnsi="宋体" w:eastAsia="宋体" w:cs="Times New Roman"/>
          <w:szCs w:val="21"/>
        </w:rPr>
        <w:t>网站</w:t>
      </w:r>
      <w:r>
        <w:rPr>
          <w:rFonts w:ascii="宋体" w:hAnsi="宋体" w:eastAsia="宋体" w:cs="宋体"/>
          <w:sz w:val="21"/>
        </w:rPr>
        <w:t>www.sdcaee.com</w:t>
      </w:r>
      <w:r>
        <w:rPr>
          <w:rFonts w:hint="eastAsia" w:ascii="宋体" w:hAnsi="宋体" w:eastAsia="宋体" w:cs="Times New Roman"/>
          <w:szCs w:val="21"/>
        </w:rPr>
        <w:t>披露信息为准）及附件的全部内容。若意向受让方无法前往本项目预展地点进行现场勘察的，则须承诺认可交易标的现状，并自行承担包括但不限于因所获取的表达信息不全面、错误或误解等而产生的相应后果。</w:t>
      </w:r>
    </w:p>
    <w:p w14:paraId="6E1B67BF">
      <w:pPr>
        <w:widowControl/>
        <w:adjustRightInd w:val="0"/>
        <w:snapToGrid w:val="0"/>
        <w:spacing w:line="360" w:lineRule="exact"/>
        <w:ind w:firstLine="420" w:firstLineChars="200"/>
        <w:jc w:val="left"/>
        <w:rPr>
          <w:rFonts w:asciiTheme="minorEastAsia" w:hAnsiTheme="minorEastAsia"/>
          <w:szCs w:val="21"/>
        </w:rPr>
      </w:pPr>
      <w:r>
        <w:rPr>
          <w:rFonts w:hint="eastAsia" w:asciiTheme="minorEastAsia" w:hAnsiTheme="minorEastAsia"/>
          <w:szCs w:val="21"/>
        </w:rPr>
        <w:t>九、</w:t>
      </w:r>
      <w:r>
        <w:rPr>
          <w:rFonts w:hint="eastAsia" w:ascii="宋体" w:hAnsi="宋体" w:eastAsia="宋体" w:cs="Times New Roman"/>
          <w:szCs w:val="21"/>
        </w:rPr>
        <w:t>意向受让方应当具备公告要求的资格条件，同意本项目公告中与转让相关的其他条件，并承诺符合相关受让方资格条件。如因资格不符对转让方及</w:t>
      </w:r>
      <w:r>
        <w:rPr>
          <w:rFonts w:hint="eastAsia" w:ascii="宋体" w:hAnsi="宋体" w:eastAsia="宋体" w:cs="Times New Roman"/>
          <w:szCs w:val="21"/>
          <w:lang w:eastAsia="zh-CN"/>
        </w:rPr>
        <w:t>文交所</w:t>
      </w:r>
      <w:r>
        <w:rPr>
          <w:rFonts w:hint="eastAsia" w:ascii="宋体" w:hAnsi="宋体" w:eastAsia="宋体" w:cs="Times New Roman"/>
          <w:szCs w:val="21"/>
        </w:rPr>
        <w:t>造成损失的，须承担违约责任。</w:t>
      </w:r>
    </w:p>
    <w:p w14:paraId="6DAE2A57">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十、本项目公告截止日后，已完成报名手续的意向受让方，不得单方撤回报名。</w:t>
      </w:r>
    </w:p>
    <w:p w14:paraId="37CEA75C">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ascii="宋体" w:hAnsi="宋体" w:eastAsia="宋体" w:cs="宋体"/>
          <w:color w:val="000000"/>
          <w:kern w:val="0"/>
          <w:szCs w:val="21"/>
        </w:rPr>
        <w:t>十一、</w:t>
      </w:r>
      <w:r>
        <w:rPr>
          <w:rFonts w:hint="eastAsia" w:ascii="宋体" w:hAnsi="宋体" w:eastAsia="宋体" w:cs="宋体"/>
          <w:kern w:val="0"/>
          <w:szCs w:val="21"/>
        </w:rPr>
        <w:t>意向受让方须同意以不低于挂牌价购买在</w:t>
      </w:r>
      <w:r>
        <w:rPr>
          <w:rFonts w:hint="eastAsia" w:ascii="宋体" w:hAnsi="宋体" w:eastAsia="宋体" w:cs="宋体"/>
          <w:kern w:val="0"/>
          <w:szCs w:val="21"/>
          <w:lang w:eastAsia="zh-CN"/>
        </w:rPr>
        <w:t>文交所</w:t>
      </w:r>
      <w:r>
        <w:rPr>
          <w:rFonts w:hint="eastAsia" w:ascii="宋体" w:hAnsi="宋体" w:eastAsia="宋体" w:cs="宋体"/>
          <w:kern w:val="0"/>
          <w:szCs w:val="21"/>
        </w:rPr>
        <w:t>公开挂牌转让的</w:t>
      </w:r>
      <w:r>
        <w:rPr>
          <w:rFonts w:hint="eastAsia" w:ascii="宋体" w:hAnsi="宋体" w:eastAsia="宋体" w:cs="宋体"/>
          <w:kern w:val="0"/>
          <w:szCs w:val="21"/>
          <w:u w:val="single"/>
        </w:rPr>
        <w:t>本</w:t>
      </w:r>
      <w:r>
        <w:rPr>
          <w:rFonts w:hint="eastAsia" w:ascii="宋体" w:hAnsi="宋体" w:eastAsia="宋体" w:cs="宋体"/>
          <w:kern w:val="0"/>
          <w:szCs w:val="21"/>
        </w:rPr>
        <w:t>项目。</w:t>
      </w:r>
    </w:p>
    <w:p w14:paraId="3F90A43E">
      <w:pPr>
        <w:widowControl/>
        <w:adjustRightInd w:val="0"/>
        <w:snapToGrid w:val="0"/>
        <w:spacing w:line="380" w:lineRule="atLeast"/>
        <w:ind w:firstLine="420" w:firstLineChars="200"/>
        <w:jc w:val="left"/>
        <w:rPr>
          <w:rFonts w:ascii="宋体" w:hAnsi="宋体" w:eastAsia="宋体" w:cs="宋体"/>
          <w:color w:val="000000"/>
          <w:kern w:val="0"/>
          <w:szCs w:val="21"/>
        </w:rPr>
      </w:pPr>
      <w:r>
        <w:rPr>
          <w:rFonts w:hint="eastAsia" w:cs="宋体" w:asciiTheme="minorEastAsia" w:hAnsiTheme="minorEastAsia"/>
          <w:color w:val="000000" w:themeColor="text1"/>
          <w:kern w:val="0"/>
          <w:szCs w:val="21"/>
          <w14:textFill>
            <w14:solidFill>
              <w14:schemeClr w14:val="tx1"/>
            </w14:solidFill>
          </w14:textFill>
        </w:rPr>
        <w:t>十二、</w:t>
      </w:r>
      <w:r>
        <w:rPr>
          <w:rFonts w:hint="eastAsia" w:ascii="宋体" w:hAnsi="宋体" w:eastAsia="宋体" w:cs="宋体"/>
          <w:color w:val="000000"/>
          <w:kern w:val="0"/>
          <w:szCs w:val="21"/>
        </w:rPr>
        <w:t>网络竞价（含动态报价）规则：</w:t>
      </w:r>
    </w:p>
    <w:p w14:paraId="4D923248">
      <w:pPr>
        <w:adjustRightInd w:val="0"/>
        <w:snapToGrid w:val="0"/>
        <w:spacing w:line="360" w:lineRule="exact"/>
        <w:ind w:firstLine="420" w:firstLineChars="200"/>
        <w:jc w:val="left"/>
        <w:rPr>
          <w:rFonts w:hint="eastAsia" w:ascii="宋体" w:hAnsi="宋体" w:eastAsia="宋体" w:cs="宋体"/>
          <w:kern w:val="0"/>
          <w:szCs w:val="21"/>
        </w:rPr>
      </w:pPr>
      <w:r>
        <w:rPr>
          <w:rFonts w:hint="eastAsia" w:ascii="宋体" w:hAnsi="宋体" w:eastAsia="宋体" w:cs="宋体"/>
          <w:color w:val="000000"/>
          <w:kern w:val="0"/>
          <w:szCs w:val="21"/>
        </w:rPr>
        <w:t>1、交易方式为网络竞价的，如</w:t>
      </w:r>
      <w:r>
        <w:rPr>
          <w:rFonts w:hint="eastAsia" w:ascii="宋体" w:hAnsi="宋体" w:eastAsia="宋体" w:cs="宋体"/>
          <w:kern w:val="0"/>
          <w:szCs w:val="21"/>
        </w:rPr>
        <w:t>公告</w:t>
      </w:r>
      <w:r>
        <w:rPr>
          <w:rFonts w:ascii="宋体" w:hAnsi="宋体" w:eastAsia="宋体" w:cs="宋体"/>
          <w:kern w:val="0"/>
          <w:szCs w:val="21"/>
        </w:rPr>
        <w:t>期满后</w:t>
      </w:r>
      <w:r>
        <w:rPr>
          <w:rFonts w:hint="eastAsia" w:ascii="宋体" w:hAnsi="宋体" w:eastAsia="宋体" w:cs="宋体"/>
          <w:kern w:val="0"/>
          <w:szCs w:val="21"/>
        </w:rPr>
        <w:t>，产生两个及以上符合条件的意向受让方的，意向受让方须参与后续竞价程序。</w:t>
      </w:r>
    </w:p>
    <w:p w14:paraId="58880753">
      <w:pPr>
        <w:widowControl w:val="0"/>
        <w:adjustRightInd w:val="0"/>
        <w:snapToGrid w:val="0"/>
        <w:spacing w:line="360" w:lineRule="exact"/>
        <w:ind w:firstLine="420" w:firstLineChars="200"/>
        <w:jc w:val="left"/>
        <w:rPr>
          <w:rFonts w:ascii="宋体" w:hAnsi="宋体" w:eastAsia="宋体" w:cs="宋体"/>
          <w:color w:val="000000"/>
          <w:kern w:val="0"/>
          <w:szCs w:val="21"/>
          <w:highlight w:val="none"/>
        </w:rPr>
      </w:pPr>
      <w:r>
        <w:rPr>
          <w:rFonts w:hint="eastAsia" w:ascii="宋体" w:hAnsi="宋体" w:eastAsia="宋体" w:cs="宋体"/>
          <w:kern w:val="0"/>
          <w:szCs w:val="21"/>
        </w:rPr>
        <w:t>竞价过程中以挂牌价为起始价格，网络竞价开始时间及加价幅度另行通知。</w:t>
      </w:r>
      <w:r>
        <w:rPr>
          <w:rFonts w:hint="eastAsia" w:ascii="宋体" w:hAnsi="宋体" w:eastAsia="宋体" w:cs="宋体"/>
          <w:color w:val="000000"/>
          <w:kern w:val="0"/>
          <w:szCs w:val="21"/>
        </w:rPr>
        <w:t>竞价过程由多个连续报价周期组成，每个报价周期为1.5分钟（即 90秒）。在每个报价周期内，如出现新的有效报价，则进入新的报价周期；在一个报价周期内如未出现新的有效报价，则当前有效报价方成为</w:t>
      </w:r>
      <w:r>
        <w:rPr>
          <w:rFonts w:hint="eastAsia" w:ascii="宋体" w:hAnsi="宋体" w:eastAsia="宋体" w:cs="宋体"/>
          <w:color w:val="000000"/>
          <w:kern w:val="0"/>
          <w:szCs w:val="21"/>
          <w:highlight w:val="none"/>
        </w:rPr>
        <w:t>本次交易的受让方。</w:t>
      </w:r>
      <w:r>
        <w:rPr>
          <w:rFonts w:hint="eastAsia" w:cs="宋体" w:asciiTheme="minorEastAsia" w:hAnsiTheme="minorEastAsia"/>
          <w:color w:val="auto"/>
          <w:kern w:val="0"/>
          <w:szCs w:val="21"/>
          <w:highlight w:val="none"/>
        </w:rPr>
        <w:t>各竞买人均不应价的，</w:t>
      </w:r>
      <w:r>
        <w:rPr>
          <w:rFonts w:hint="eastAsia" w:ascii="宋体" w:hAnsi="宋体" w:eastAsia="宋体" w:cs="宋体"/>
          <w:color w:val="0000FF"/>
          <w:kern w:val="0"/>
          <w:szCs w:val="21"/>
          <w:highlight w:val="none"/>
          <w:lang w:val="en-US" w:eastAsia="zh-CN"/>
        </w:rPr>
        <w:t>保</w:t>
      </w:r>
      <w:r>
        <w:rPr>
          <w:rFonts w:hint="eastAsia" w:ascii="宋体" w:hAnsi="宋体" w:eastAsia="宋体" w:cs="Times New Roman"/>
          <w:color w:val="0000FF"/>
          <w:kern w:val="0"/>
          <w:szCs w:val="21"/>
          <w:highlight w:val="none"/>
          <w:lang w:eastAsia="zh-CN"/>
        </w:rPr>
        <w:t>证金到账</w:t>
      </w:r>
      <w:r>
        <w:rPr>
          <w:rFonts w:hint="eastAsia" w:ascii="宋体" w:hAnsi="宋体" w:eastAsia="宋体" w:cs="Times New Roman"/>
          <w:color w:val="0000FF"/>
          <w:kern w:val="0"/>
          <w:szCs w:val="21"/>
          <w:highlight w:val="none"/>
          <w:lang w:val="en-US" w:eastAsia="zh-CN"/>
        </w:rPr>
        <w:t>最早的</w:t>
      </w:r>
      <w:r>
        <w:rPr>
          <w:rFonts w:hint="eastAsia" w:ascii="宋体" w:hAnsi="宋体" w:eastAsia="宋体" w:cs="Times New Roman"/>
          <w:color w:val="0000FF"/>
          <w:kern w:val="0"/>
          <w:szCs w:val="21"/>
          <w:highlight w:val="none"/>
          <w:lang w:eastAsia="zh-CN"/>
        </w:rPr>
        <w:t>通过资格审核的意向</w:t>
      </w:r>
      <w:r>
        <w:rPr>
          <w:rFonts w:hint="eastAsia" w:ascii="宋体" w:hAnsi="宋体" w:eastAsia="宋体" w:cs="Times New Roman"/>
          <w:color w:val="0000FF"/>
          <w:kern w:val="0"/>
          <w:szCs w:val="21"/>
          <w:highlight w:val="none"/>
        </w:rPr>
        <w:t>受让方</w:t>
      </w:r>
      <w:r>
        <w:rPr>
          <w:rFonts w:hint="eastAsia" w:ascii="宋体" w:hAnsi="宋体" w:eastAsia="宋体" w:cs="Times New Roman"/>
          <w:color w:val="0000FF"/>
          <w:kern w:val="0"/>
          <w:szCs w:val="21"/>
          <w:highlight w:val="none"/>
          <w:lang w:eastAsia="zh-CN"/>
        </w:rPr>
        <w:t>确定为最终受让方，</w:t>
      </w:r>
      <w:r>
        <w:rPr>
          <w:rFonts w:hint="eastAsia" w:ascii="宋体" w:hAnsi="宋体" w:eastAsia="宋体" w:cs="Times New Roman"/>
          <w:color w:val="0000FF"/>
          <w:kern w:val="0"/>
          <w:szCs w:val="21"/>
          <w:highlight w:val="none"/>
          <w:lang w:val="en-US" w:eastAsia="zh-CN"/>
        </w:rPr>
        <w:t>成交价格为挂牌价</w:t>
      </w:r>
      <w:r>
        <w:rPr>
          <w:rFonts w:hint="eastAsia" w:ascii="宋体" w:hAnsi="宋体" w:eastAsia="宋体" w:cs="Times New Roman"/>
          <w:color w:val="0000FF"/>
          <w:kern w:val="0"/>
          <w:szCs w:val="21"/>
          <w:highlight w:val="none"/>
        </w:rPr>
        <w:t>。</w:t>
      </w:r>
    </w:p>
    <w:p w14:paraId="08DBDD2F">
      <w:pPr>
        <w:widowControl/>
        <w:adjustRightInd w:val="0"/>
        <w:snapToGrid w:val="0"/>
        <w:spacing w:line="360" w:lineRule="exact"/>
        <w:ind w:firstLine="420" w:firstLineChars="200"/>
        <w:jc w:val="left"/>
        <w:rPr>
          <w:rFonts w:ascii="宋体" w:hAnsi="宋体" w:eastAsia="宋体" w:cs="宋体"/>
          <w:color w:val="000000"/>
          <w:kern w:val="0"/>
          <w:szCs w:val="21"/>
          <w:highlight w:val="none"/>
        </w:rPr>
      </w:pPr>
      <w:r>
        <w:rPr>
          <w:rFonts w:hint="eastAsia" w:ascii="宋体" w:hAnsi="宋体" w:eastAsia="宋体" w:cs="宋体"/>
          <w:color w:val="000000"/>
          <w:kern w:val="0"/>
          <w:szCs w:val="21"/>
          <w:highlight w:val="none"/>
        </w:rPr>
        <w:t>网络竞价加价规则：</w:t>
      </w:r>
    </w:p>
    <w:p w14:paraId="7986DD39">
      <w:pPr>
        <w:widowControl/>
        <w:adjustRightInd w:val="0"/>
        <w:snapToGrid w:val="0"/>
        <w:spacing w:line="360" w:lineRule="exact"/>
        <w:ind w:firstLine="420" w:firstLineChars="200"/>
        <w:jc w:val="left"/>
        <w:rPr>
          <w:rFonts w:ascii="宋体" w:hAnsi="宋体" w:eastAsia="宋体" w:cs="宋体"/>
          <w:color w:val="000000"/>
          <w:kern w:val="0"/>
          <w:szCs w:val="21"/>
          <w:highlight w:val="none"/>
        </w:rPr>
      </w:pPr>
      <w:r>
        <w:rPr>
          <w:rFonts w:hint="eastAsia" w:ascii="宋体" w:hAnsi="宋体" w:eastAsia="宋体" w:cs="宋体"/>
          <w:color w:val="000000"/>
          <w:kern w:val="0"/>
          <w:szCs w:val="21"/>
          <w:highlight w:val="none"/>
        </w:rPr>
        <w:t>除对挂牌底价应价外，各竞买人每次加价不得低于加价幅度。</w:t>
      </w:r>
    </w:p>
    <w:p w14:paraId="2FA8FFBE">
      <w:pPr>
        <w:numPr>
          <w:ilvl w:val="0"/>
          <w:numId w:val="1"/>
        </w:numPr>
        <w:adjustRightInd w:val="0"/>
        <w:snapToGrid w:val="0"/>
        <w:spacing w:line="360" w:lineRule="exact"/>
        <w:ind w:firstLine="420" w:firstLineChars="200"/>
        <w:jc w:val="left"/>
        <w:rPr>
          <w:rFonts w:hint="eastAsia" w:ascii="宋体" w:hAnsi="宋体" w:eastAsia="宋体" w:cs="Times New Roman"/>
          <w:color w:val="000000"/>
          <w:kern w:val="0"/>
          <w:szCs w:val="21"/>
          <w:highlight w:val="none"/>
          <w:lang w:eastAsia="zh-CN"/>
        </w:rPr>
      </w:pPr>
      <w:r>
        <w:rPr>
          <w:rFonts w:hint="eastAsia" w:ascii="宋体" w:hAnsi="宋体" w:eastAsia="宋体" w:cs="Times New Roman"/>
          <w:color w:val="000000"/>
          <w:kern w:val="0"/>
          <w:szCs w:val="21"/>
          <w:highlight w:val="none"/>
        </w:rPr>
        <w:t>交易方式为动态报价的，本次动态报价活动以挂牌价为起始价格</w:t>
      </w:r>
      <w:r>
        <w:rPr>
          <w:rFonts w:hint="eastAsia" w:ascii="宋体" w:hAnsi="宋体" w:eastAsia="宋体" w:cs="Times New Roman"/>
          <w:color w:val="000000"/>
          <w:kern w:val="0"/>
          <w:szCs w:val="21"/>
          <w:highlight w:val="none"/>
          <w:lang w:eastAsia="zh-CN"/>
        </w:rPr>
        <w:t>。</w:t>
      </w:r>
    </w:p>
    <w:p w14:paraId="3915237E">
      <w:pPr>
        <w:numPr>
          <w:ilvl w:val="0"/>
          <w:numId w:val="0"/>
        </w:numPr>
        <w:adjustRightInd w:val="0"/>
        <w:snapToGrid w:val="0"/>
        <w:spacing w:line="360" w:lineRule="exact"/>
        <w:ind w:firstLine="420" w:firstLineChars="200"/>
        <w:jc w:val="left"/>
        <w:rPr>
          <w:rFonts w:hint="eastAsia" w:ascii="宋体" w:hAnsi="宋体" w:eastAsia="宋体" w:cs="Times New Roman"/>
          <w:color w:val="0000FF"/>
          <w:kern w:val="0"/>
          <w:szCs w:val="21"/>
          <w:highlight w:val="none"/>
          <w:lang w:eastAsia="zh-CN"/>
        </w:rPr>
      </w:pPr>
      <w:r>
        <w:rPr>
          <w:rFonts w:hint="eastAsia" w:ascii="宋体" w:hAnsi="宋体" w:eastAsia="宋体" w:cs="Times New Roman"/>
          <w:color w:val="0000FF"/>
          <w:kern w:val="0"/>
          <w:szCs w:val="21"/>
          <w:highlight w:val="none"/>
          <w:lang w:val="en-US" w:eastAsia="zh-CN"/>
        </w:rPr>
        <w:t>如</w:t>
      </w:r>
      <w:r>
        <w:rPr>
          <w:rFonts w:hint="eastAsia" w:ascii="宋体" w:hAnsi="宋体" w:eastAsia="宋体" w:cs="Times New Roman"/>
          <w:color w:val="0000FF"/>
          <w:kern w:val="0"/>
          <w:szCs w:val="21"/>
          <w:highlight w:val="none"/>
        </w:rPr>
        <w:t>信息公告期满，只产生一个意向受让方的，</w:t>
      </w:r>
      <w:r>
        <w:rPr>
          <w:rFonts w:hint="eastAsia" w:ascii="宋体" w:hAnsi="宋体" w:eastAsia="宋体" w:cs="Times New Roman"/>
          <w:color w:val="0000FF"/>
          <w:kern w:val="0"/>
          <w:szCs w:val="21"/>
          <w:highlight w:val="none"/>
          <w:lang w:eastAsia="zh-CN"/>
        </w:rPr>
        <w:t>文交所</w:t>
      </w:r>
      <w:r>
        <w:rPr>
          <w:rFonts w:hint="eastAsia" w:ascii="宋体" w:hAnsi="宋体" w:eastAsia="宋体" w:cs="Times New Roman"/>
          <w:color w:val="0000FF"/>
          <w:kern w:val="0"/>
          <w:szCs w:val="21"/>
          <w:highlight w:val="none"/>
        </w:rPr>
        <w:t>组织交易双方按照</w:t>
      </w:r>
      <w:r>
        <w:rPr>
          <w:rFonts w:hint="eastAsia" w:ascii="宋体" w:hAnsi="宋体" w:eastAsia="宋体" w:cs="Times New Roman"/>
          <w:color w:val="0000FF"/>
          <w:kern w:val="0"/>
          <w:szCs w:val="21"/>
          <w:highlight w:val="none"/>
          <w:lang w:val="en-US" w:eastAsia="zh-CN"/>
        </w:rPr>
        <w:t>竞买人</w:t>
      </w:r>
      <w:r>
        <w:rPr>
          <w:rFonts w:hint="eastAsia" w:ascii="宋体" w:hAnsi="宋体" w:eastAsia="宋体" w:cs="Times New Roman"/>
          <w:color w:val="0000FF"/>
          <w:kern w:val="0"/>
          <w:szCs w:val="21"/>
          <w:highlight w:val="none"/>
        </w:rPr>
        <w:t>报价（竞买人</w:t>
      </w:r>
      <w:r>
        <w:rPr>
          <w:rFonts w:hint="eastAsia" w:ascii="宋体" w:hAnsi="宋体" w:eastAsia="宋体" w:cs="Times New Roman"/>
          <w:color w:val="0000FF"/>
          <w:kern w:val="0"/>
          <w:szCs w:val="21"/>
          <w:highlight w:val="none"/>
          <w:lang w:val="en-US" w:eastAsia="zh-CN"/>
        </w:rPr>
        <w:t>未通过</w:t>
      </w:r>
      <w:r>
        <w:rPr>
          <w:rFonts w:hint="eastAsia" w:ascii="宋体" w:hAnsi="宋体" w:eastAsia="宋体" w:cs="Times New Roman"/>
          <w:color w:val="0000FF"/>
          <w:kern w:val="0"/>
          <w:szCs w:val="21"/>
          <w:highlight w:val="none"/>
        </w:rPr>
        <w:t>系统报价的，</w:t>
      </w:r>
      <w:r>
        <w:rPr>
          <w:rFonts w:hint="eastAsia" w:ascii="宋体" w:hAnsi="宋体" w:eastAsia="宋体" w:cs="Times New Roman"/>
          <w:color w:val="0000FF"/>
          <w:kern w:val="0"/>
          <w:szCs w:val="21"/>
          <w:highlight w:val="none"/>
          <w:lang w:eastAsia="zh-CN"/>
        </w:rPr>
        <w:t>以</w:t>
      </w:r>
      <w:r>
        <w:rPr>
          <w:rFonts w:hint="eastAsia" w:ascii="宋体" w:hAnsi="宋体" w:eastAsia="宋体" w:cs="Times New Roman"/>
          <w:color w:val="0000FF"/>
          <w:kern w:val="0"/>
          <w:szCs w:val="21"/>
          <w:highlight w:val="none"/>
          <w:lang w:val="en-US" w:eastAsia="zh-CN"/>
        </w:rPr>
        <w:t>挂牌价</w:t>
      </w:r>
      <w:r>
        <w:rPr>
          <w:rFonts w:hint="eastAsia" w:ascii="宋体" w:hAnsi="宋体" w:eastAsia="宋体" w:cs="Times New Roman"/>
          <w:color w:val="0000FF"/>
          <w:kern w:val="0"/>
          <w:szCs w:val="21"/>
          <w:highlight w:val="none"/>
        </w:rPr>
        <w:t>视为报价）与转让底价孰高原则直接签订《资产交易合同》</w:t>
      </w:r>
      <w:r>
        <w:rPr>
          <w:rFonts w:hint="eastAsia" w:ascii="宋体" w:hAnsi="宋体" w:eastAsia="宋体" w:cs="Times New Roman"/>
          <w:color w:val="0000FF"/>
          <w:kern w:val="0"/>
          <w:szCs w:val="21"/>
          <w:highlight w:val="none"/>
          <w:lang w:eastAsia="zh-CN"/>
        </w:rPr>
        <w:t>。</w:t>
      </w:r>
    </w:p>
    <w:p w14:paraId="2B05BA31">
      <w:pPr>
        <w:numPr>
          <w:ilvl w:val="0"/>
          <w:numId w:val="0"/>
        </w:numPr>
        <w:adjustRightInd w:val="0"/>
        <w:snapToGrid w:val="0"/>
        <w:spacing w:line="360" w:lineRule="exact"/>
        <w:ind w:firstLine="420" w:firstLineChars="200"/>
        <w:jc w:val="left"/>
        <w:rPr>
          <w:rFonts w:hint="eastAsia" w:ascii="宋体" w:hAnsi="宋体" w:eastAsia="宋体" w:cs="Times New Roman"/>
          <w:color w:val="0000FF"/>
          <w:kern w:val="0"/>
          <w:szCs w:val="21"/>
          <w:highlight w:val="none"/>
        </w:rPr>
      </w:pPr>
      <w:r>
        <w:rPr>
          <w:rFonts w:hint="eastAsia" w:ascii="宋体" w:hAnsi="宋体" w:eastAsia="宋体" w:cs="Times New Roman"/>
          <w:color w:val="0000FF"/>
          <w:kern w:val="0"/>
          <w:szCs w:val="21"/>
          <w:highlight w:val="none"/>
        </w:rPr>
        <w:t>信息公告期满，产生两家及以上意向受让方的，</w:t>
      </w:r>
      <w:r>
        <w:rPr>
          <w:rFonts w:hint="eastAsia" w:ascii="宋体" w:hAnsi="宋体" w:eastAsia="宋体" w:cs="Times New Roman"/>
          <w:color w:val="0000FF"/>
          <w:kern w:val="0"/>
          <w:szCs w:val="21"/>
          <w:highlight w:val="none"/>
          <w:lang w:eastAsia="zh-CN"/>
        </w:rPr>
        <w:t>意向受让方</w:t>
      </w:r>
      <w:r>
        <w:rPr>
          <w:rFonts w:hint="eastAsia" w:ascii="宋体" w:hAnsi="宋体" w:eastAsia="宋体" w:cs="Times New Roman"/>
          <w:color w:val="0000FF"/>
          <w:kern w:val="0"/>
          <w:szCs w:val="21"/>
          <w:highlight w:val="none"/>
        </w:rPr>
        <w:t>在规定的报价时间内报价。</w:t>
      </w:r>
    </w:p>
    <w:p w14:paraId="50316193">
      <w:pPr>
        <w:adjustRightInd w:val="0"/>
        <w:snapToGrid w:val="0"/>
        <w:spacing w:line="360" w:lineRule="exact"/>
        <w:ind w:firstLine="420" w:firstLineChars="200"/>
        <w:jc w:val="left"/>
        <w:rPr>
          <w:rFonts w:ascii="宋体" w:hAnsi="宋体" w:eastAsia="宋体" w:cs="仿宋_GB2312"/>
          <w:color w:val="auto"/>
          <w:szCs w:val="21"/>
          <w:highlight w:val="none"/>
        </w:rPr>
      </w:pPr>
      <w:r>
        <w:rPr>
          <w:rFonts w:hint="eastAsia" w:ascii="宋体" w:hAnsi="宋体" w:eastAsia="宋体" w:cs="仿宋_GB2312"/>
          <w:color w:val="auto"/>
          <w:szCs w:val="21"/>
          <w:highlight w:val="none"/>
        </w:rPr>
        <w:t>动态报价由定时报价期和连续报价期组成。</w:t>
      </w:r>
    </w:p>
    <w:p w14:paraId="4479A19B">
      <w:pPr>
        <w:widowControl/>
        <w:adjustRightInd w:val="0"/>
        <w:snapToGrid w:val="0"/>
        <w:spacing w:line="360" w:lineRule="exact"/>
        <w:ind w:firstLine="420" w:firstLineChars="200"/>
        <w:jc w:val="left"/>
        <w:rPr>
          <w:rFonts w:ascii="宋体" w:hAnsi="宋体" w:eastAsia="宋体" w:cs="Times New Roman"/>
          <w:kern w:val="0"/>
          <w:szCs w:val="21"/>
        </w:rPr>
      </w:pPr>
      <w:r>
        <w:rPr>
          <w:rFonts w:hint="eastAsia" w:ascii="宋体" w:hAnsi="宋体" w:eastAsia="宋体" w:cs="仿宋_GB2312"/>
          <w:color w:val="auto"/>
          <w:szCs w:val="21"/>
          <w:highlight w:val="none"/>
        </w:rPr>
        <w:t>（1）定</w:t>
      </w:r>
      <w:r>
        <w:rPr>
          <w:rFonts w:hint="eastAsia" w:ascii="宋体" w:hAnsi="宋体" w:eastAsia="宋体" w:cs="Times New Roman"/>
          <w:color w:val="000000"/>
          <w:kern w:val="0"/>
          <w:szCs w:val="21"/>
          <w:highlight w:val="none"/>
        </w:rPr>
        <w:t>时</w:t>
      </w:r>
      <w:r>
        <w:rPr>
          <w:rFonts w:hint="eastAsia" w:ascii="宋体" w:hAnsi="宋体" w:eastAsia="宋体" w:cs="Times New Roman"/>
          <w:color w:val="auto"/>
          <w:kern w:val="0"/>
          <w:szCs w:val="21"/>
          <w:highlight w:val="none"/>
        </w:rPr>
        <w:t>报价期起始时间详见网站披露信息。在此期间，竞买人可对转让标的进行报</w:t>
      </w:r>
      <w:r>
        <w:rPr>
          <w:rFonts w:hint="eastAsia" w:ascii="宋体" w:hAnsi="宋体" w:eastAsia="宋体" w:cs="Times New Roman"/>
          <w:kern w:val="0"/>
          <w:szCs w:val="21"/>
        </w:rPr>
        <w:t xml:space="preserve">价，各竞买人的每次有效报价随即成为当前报价。 </w:t>
      </w:r>
    </w:p>
    <w:p w14:paraId="2061CFD4">
      <w:pPr>
        <w:widowControl/>
        <w:adjustRightInd w:val="0"/>
        <w:snapToGrid w:val="0"/>
        <w:spacing w:line="360" w:lineRule="exact"/>
        <w:ind w:firstLine="420" w:firstLineChars="200"/>
        <w:jc w:val="left"/>
        <w:rPr>
          <w:rFonts w:ascii="宋体" w:hAnsi="宋体" w:eastAsia="宋体" w:cs="Times New Roman"/>
          <w:kern w:val="0"/>
          <w:szCs w:val="21"/>
        </w:rPr>
      </w:pPr>
      <w:r>
        <w:rPr>
          <w:rFonts w:hint="eastAsia" w:ascii="宋体" w:hAnsi="宋体" w:eastAsia="宋体" w:cs="Times New Roman"/>
          <w:kern w:val="0"/>
          <w:szCs w:val="21"/>
        </w:rPr>
        <w:t>（2）定时报价期结束后立即进入连续报价期。连续报价期可由多个连续报价周期组成，每个连续报价周期为1.5分钟（即90秒）。在每个连续报价周期内，如出现新的有效报价，则进入新的连续报价周期；在一个连续报价周期内如未出现新的有效报价，则当前有效报价方成为本次动态报价活动的受让方。</w:t>
      </w:r>
    </w:p>
    <w:p w14:paraId="2C67D790">
      <w:pPr>
        <w:widowControl/>
        <w:adjustRightInd w:val="0"/>
        <w:snapToGrid w:val="0"/>
        <w:spacing w:line="360" w:lineRule="exact"/>
        <w:ind w:firstLine="420" w:firstLineChars="200"/>
        <w:jc w:val="left"/>
        <w:rPr>
          <w:rFonts w:ascii="宋体" w:hAnsi="宋体" w:eastAsia="宋体" w:cs="Times New Roman"/>
          <w:szCs w:val="21"/>
        </w:rPr>
      </w:pPr>
      <w:r>
        <w:rPr>
          <w:rFonts w:hint="eastAsia" w:ascii="宋体" w:hAnsi="宋体" w:eastAsia="宋体" w:cs="Times New Roman"/>
          <w:szCs w:val="21"/>
        </w:rPr>
        <w:t>动态报价加价规则：</w:t>
      </w:r>
    </w:p>
    <w:p w14:paraId="2D1265B5">
      <w:pPr>
        <w:widowControl/>
        <w:adjustRightInd w:val="0"/>
        <w:snapToGrid w:val="0"/>
        <w:spacing w:line="380" w:lineRule="atLeast"/>
        <w:ind w:firstLine="420" w:firstLineChars="200"/>
        <w:jc w:val="left"/>
        <w:rPr>
          <w:rFonts w:ascii="宋体" w:hAnsi="宋体" w:eastAsia="宋体" w:cs="Times New Roman"/>
          <w:szCs w:val="21"/>
        </w:rPr>
      </w:pPr>
      <w:r>
        <w:rPr>
          <w:rFonts w:hint="eastAsia" w:ascii="宋体" w:hAnsi="宋体" w:eastAsia="宋体" w:cs="Times New Roman"/>
          <w:szCs w:val="21"/>
        </w:rPr>
        <w:t>本次动态报价的加价幅度详见网站披露信息。除对报价底价应价外，各竞买人每次加价不得低于加价幅度。</w:t>
      </w:r>
    </w:p>
    <w:p w14:paraId="56146CEE">
      <w:pPr>
        <w:widowControl/>
        <w:adjustRightInd w:val="0"/>
        <w:snapToGrid w:val="0"/>
        <w:spacing w:line="380" w:lineRule="atLeast"/>
        <w:ind w:firstLine="420" w:firstLineChars="200"/>
        <w:jc w:val="left"/>
        <w:rPr>
          <w:rFonts w:ascii="宋体" w:hAnsi="宋体" w:eastAsia="宋体" w:cs="Times New Roman"/>
          <w:szCs w:val="21"/>
        </w:rPr>
      </w:pPr>
      <w:r>
        <w:rPr>
          <w:rFonts w:ascii="宋体" w:hAnsi="宋体" w:eastAsia="宋体" w:cs="Times New Roman"/>
          <w:szCs w:val="21"/>
        </w:rPr>
        <w:t>3.</w:t>
      </w:r>
      <w:r>
        <w:rPr>
          <w:rFonts w:hint="eastAsia"/>
        </w:rPr>
        <w:t xml:space="preserve"> 项目存在优先购买权人的，优先购买权人在满足同等条件的前提下，可在网络竞价过程中按照其他竞买人的报价即时行权。</w:t>
      </w:r>
    </w:p>
    <w:p w14:paraId="7875D1A7">
      <w:pPr>
        <w:spacing w:line="360" w:lineRule="exact"/>
        <w:ind w:firstLine="420" w:firstLineChars="200"/>
        <w:jc w:val="left"/>
        <w:rPr>
          <w:rFonts w:ascii="宋体" w:hAnsi="宋体" w:eastAsia="宋体" w:cs="宋体"/>
          <w:color w:val="auto"/>
          <w:kern w:val="0"/>
          <w:szCs w:val="21"/>
        </w:rPr>
      </w:pPr>
      <w:r>
        <w:rPr>
          <w:rFonts w:hint="eastAsia" w:ascii="宋体" w:hAnsi="宋体" w:eastAsia="宋体" w:cs="宋体"/>
          <w:color w:val="000000"/>
          <w:kern w:val="0"/>
          <w:szCs w:val="21"/>
        </w:rPr>
        <w:t>十三、受让方应在收到《挂牌结果通知单》之日起5个工作日内与转让方签署《资产交易合同》，并于签订《资产交易合同》之日起5个工作日内支付</w:t>
      </w:r>
      <w:r>
        <w:rPr>
          <w:rFonts w:hint="eastAsia" w:ascii="宋体" w:hAnsi="宋体" w:eastAsia="宋体" w:cs="宋体"/>
          <w:color w:val="auto"/>
          <w:kern w:val="0"/>
          <w:szCs w:val="21"/>
        </w:rPr>
        <w:t>应付交易价款及</w:t>
      </w:r>
      <w:r>
        <w:rPr>
          <w:rFonts w:hint="eastAsia"/>
          <w:color w:val="auto"/>
        </w:rPr>
        <w:t>基础服务费</w:t>
      </w:r>
      <w:r>
        <w:rPr>
          <w:rFonts w:hint="eastAsia" w:ascii="宋体" w:hAnsi="宋体" w:eastAsia="宋体" w:cs="宋体"/>
          <w:color w:val="auto"/>
          <w:kern w:val="0"/>
          <w:szCs w:val="21"/>
        </w:rPr>
        <w:t>至</w:t>
      </w:r>
      <w:r>
        <w:rPr>
          <w:rFonts w:hint="eastAsia" w:ascii="宋体" w:hAnsi="宋体" w:eastAsia="宋体" w:cs="宋体"/>
          <w:color w:val="auto"/>
          <w:kern w:val="0"/>
          <w:szCs w:val="21"/>
          <w:lang w:eastAsia="zh-CN"/>
        </w:rPr>
        <w:t>文交所</w:t>
      </w:r>
      <w:r>
        <w:rPr>
          <w:rFonts w:hint="eastAsia" w:ascii="宋体" w:hAnsi="宋体" w:eastAsia="宋体" w:cs="宋体"/>
          <w:color w:val="auto"/>
          <w:kern w:val="0"/>
          <w:szCs w:val="21"/>
        </w:rPr>
        <w:t>指定账户（交易价款无息结算）。（如本项目公告对以上办理时间有不同约定的，从其约定。）</w:t>
      </w:r>
    </w:p>
    <w:p w14:paraId="6E3920F7">
      <w:pPr>
        <w:widowControl/>
        <w:spacing w:line="320" w:lineRule="exact"/>
        <w:ind w:right="-199" w:rightChars="-95" w:firstLine="420" w:firstLineChars="200"/>
        <w:rPr>
          <w:rFonts w:hint="eastAsia"/>
          <w:color w:val="auto"/>
          <w:lang w:eastAsia="zh-CN"/>
        </w:rPr>
      </w:pPr>
      <w:r>
        <w:rPr>
          <w:rFonts w:hint="eastAsia"/>
          <w:color w:val="auto"/>
          <w:lang w:eastAsia="zh-CN"/>
        </w:rPr>
        <w:t>文交所</w:t>
      </w:r>
      <w:r>
        <w:rPr>
          <w:rFonts w:hint="eastAsia"/>
          <w:color w:val="auto"/>
        </w:rPr>
        <w:t>按照一定比例向交易双方分档递减累加收取基础服务费。基础服务费根据山东省发展和改革委员会《关于整合降低企业国有资产交易服务收费标准的通知》（鲁发改成本〔2023〕21号）文件要求，按以下标准分档递减累加计算交纳</w:t>
      </w:r>
      <w:r>
        <w:rPr>
          <w:rFonts w:hint="eastAsia"/>
          <w:color w:val="auto"/>
          <w:lang w:eastAsia="zh-CN"/>
        </w:rPr>
        <w:t>。</w:t>
      </w:r>
    </w:p>
    <w:p w14:paraId="4BAD4A27">
      <w:pPr>
        <w:widowControl/>
        <w:spacing w:line="320" w:lineRule="exact"/>
        <w:ind w:right="-199" w:rightChars="-95" w:firstLine="420" w:firstLineChars="200"/>
        <w:rPr>
          <w:rFonts w:hint="default"/>
          <w:color w:val="auto"/>
          <w:lang w:val="en-US" w:eastAsia="zh-CN"/>
        </w:rPr>
      </w:pPr>
      <w:r>
        <w:rPr>
          <w:rFonts w:hint="eastAsia"/>
          <w:color w:val="auto"/>
          <w:lang w:eastAsia="zh-CN"/>
        </w:rPr>
        <w:t>（</w:t>
      </w:r>
      <w:r>
        <w:rPr>
          <w:rFonts w:hint="eastAsia"/>
          <w:color w:val="auto"/>
          <w:lang w:val="en-US" w:eastAsia="zh-CN"/>
        </w:rPr>
        <w:t>1）协议成交</w:t>
      </w:r>
    </w:p>
    <w:tbl>
      <w:tblPr>
        <w:tblStyle w:val="10"/>
        <w:tblW w:w="71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158"/>
        <w:gridCol w:w="3030"/>
      </w:tblGrid>
      <w:tr w14:paraId="51D0EE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4158" w:type="dxa"/>
            <w:vAlign w:val="center"/>
          </w:tcPr>
          <w:p w14:paraId="01E78251">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转让底价</w:t>
            </w:r>
          </w:p>
        </w:tc>
        <w:tc>
          <w:tcPr>
            <w:tcW w:w="3030" w:type="dxa"/>
            <w:vAlign w:val="center"/>
          </w:tcPr>
          <w:p w14:paraId="59F89C36">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基础服务费</w:t>
            </w:r>
          </w:p>
        </w:tc>
      </w:tr>
      <w:tr w14:paraId="5CECC3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168E5CC0">
            <w:pPr>
              <w:widowControl/>
              <w:spacing w:line="320" w:lineRule="exact"/>
              <w:ind w:right="-199" w:rightChars="-95" w:firstLine="420" w:firstLineChars="200"/>
              <w:jc w:val="center"/>
              <w:rPr>
                <w:rFonts w:hint="eastAsia"/>
                <w:color w:val="auto"/>
              </w:rPr>
            </w:pPr>
            <w:r>
              <w:rPr>
                <w:rFonts w:hint="eastAsia"/>
                <w:color w:val="auto"/>
                <w:lang w:val="en-US" w:eastAsia="zh-CN"/>
              </w:rPr>
              <w:t>1亿</w:t>
            </w:r>
            <w:r>
              <w:rPr>
                <w:rFonts w:hint="eastAsia"/>
                <w:color w:val="auto"/>
              </w:rPr>
              <w:t>元以下（含）</w:t>
            </w:r>
          </w:p>
        </w:tc>
        <w:tc>
          <w:tcPr>
            <w:tcW w:w="3030" w:type="dxa"/>
            <w:vAlign w:val="center"/>
          </w:tcPr>
          <w:p w14:paraId="3AF8864E">
            <w:pPr>
              <w:widowControl/>
              <w:spacing w:line="320" w:lineRule="exact"/>
              <w:ind w:right="-199" w:rightChars="-95" w:firstLine="420" w:firstLineChars="200"/>
              <w:jc w:val="center"/>
              <w:rPr>
                <w:rFonts w:hint="eastAsia"/>
                <w:color w:val="auto"/>
              </w:rPr>
            </w:pPr>
            <w:r>
              <w:rPr>
                <w:rFonts w:hint="eastAsia"/>
                <w:color w:val="auto"/>
                <w:lang w:val="en-US" w:eastAsia="zh-CN"/>
              </w:rPr>
              <w:t>1</w:t>
            </w:r>
            <w:r>
              <w:rPr>
                <w:rFonts w:hint="default"/>
                <w:color w:val="auto"/>
              </w:rPr>
              <w:t>‰</w:t>
            </w:r>
          </w:p>
        </w:tc>
      </w:tr>
      <w:tr w14:paraId="73FF84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22525B33">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30" w:type="dxa"/>
            <w:vAlign w:val="center"/>
          </w:tcPr>
          <w:p w14:paraId="02CD8FDE">
            <w:pPr>
              <w:widowControl/>
              <w:spacing w:line="320" w:lineRule="exact"/>
              <w:ind w:right="-199" w:rightChars="-95" w:firstLine="420" w:firstLineChars="200"/>
              <w:jc w:val="center"/>
              <w:rPr>
                <w:rFonts w:hint="eastAsia"/>
                <w:color w:val="auto"/>
              </w:rPr>
            </w:pPr>
            <w:r>
              <w:rPr>
                <w:rFonts w:hint="eastAsia"/>
                <w:color w:val="auto"/>
                <w:lang w:val="en-US" w:eastAsia="zh-CN"/>
              </w:rPr>
              <w:t>0.8</w:t>
            </w:r>
            <w:r>
              <w:rPr>
                <w:rFonts w:hint="default"/>
                <w:color w:val="auto"/>
              </w:rPr>
              <w:t>‰</w:t>
            </w:r>
          </w:p>
        </w:tc>
      </w:tr>
      <w:tr w14:paraId="341A82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3DAF366A">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30" w:type="dxa"/>
            <w:vAlign w:val="center"/>
          </w:tcPr>
          <w:p w14:paraId="25301B83">
            <w:pPr>
              <w:widowControl/>
              <w:spacing w:line="320" w:lineRule="exact"/>
              <w:ind w:right="-199" w:rightChars="-95" w:firstLine="420" w:firstLineChars="200"/>
              <w:jc w:val="center"/>
              <w:rPr>
                <w:rFonts w:hint="eastAsia"/>
                <w:color w:val="auto"/>
              </w:rPr>
            </w:pPr>
            <w:r>
              <w:rPr>
                <w:rFonts w:hint="eastAsia"/>
                <w:color w:val="auto"/>
              </w:rPr>
              <w:t>0.</w:t>
            </w:r>
            <w:r>
              <w:rPr>
                <w:rFonts w:hint="eastAsia"/>
                <w:color w:val="auto"/>
                <w:lang w:val="en-US" w:eastAsia="zh-CN"/>
              </w:rPr>
              <w:t>5</w:t>
            </w:r>
            <w:r>
              <w:rPr>
                <w:rFonts w:hint="default"/>
                <w:color w:val="auto"/>
              </w:rPr>
              <w:t>‰</w:t>
            </w:r>
          </w:p>
        </w:tc>
      </w:tr>
    </w:tbl>
    <w:p w14:paraId="6E69F7B8">
      <w:pPr>
        <w:widowControl/>
        <w:spacing w:line="320" w:lineRule="exact"/>
        <w:ind w:right="-199" w:rightChars="-95" w:firstLine="420" w:firstLineChars="200"/>
        <w:rPr>
          <w:rFonts w:hint="eastAsia"/>
          <w:color w:val="auto"/>
          <w:lang w:val="en-US" w:eastAsia="zh-CN"/>
        </w:rPr>
      </w:pPr>
      <w:r>
        <w:rPr>
          <w:rFonts w:hint="eastAsia"/>
          <w:color w:val="auto"/>
          <w:lang w:val="en-US" w:eastAsia="zh-CN"/>
        </w:rPr>
        <w:t>（2）竞价成交</w:t>
      </w:r>
    </w:p>
    <w:tbl>
      <w:tblPr>
        <w:tblStyle w:val="10"/>
        <w:tblW w:w="700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988"/>
        <w:gridCol w:w="3015"/>
      </w:tblGrid>
      <w:tr w14:paraId="3EC947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3988" w:type="dxa"/>
            <w:vAlign w:val="center"/>
          </w:tcPr>
          <w:p w14:paraId="3914796A">
            <w:pPr>
              <w:widowControl/>
              <w:spacing w:line="320" w:lineRule="exact"/>
              <w:ind w:right="-199" w:rightChars="-95" w:firstLine="420" w:firstLineChars="200"/>
              <w:jc w:val="center"/>
              <w:rPr>
                <w:rFonts w:hint="eastAsia"/>
                <w:color w:val="auto"/>
              </w:rPr>
            </w:pPr>
            <w:r>
              <w:rPr>
                <w:rFonts w:hint="eastAsia"/>
                <w:color w:val="auto"/>
                <w:lang w:val="en-US" w:eastAsia="zh-CN"/>
              </w:rPr>
              <w:t>转让底价</w:t>
            </w:r>
          </w:p>
        </w:tc>
        <w:tc>
          <w:tcPr>
            <w:tcW w:w="3015" w:type="dxa"/>
            <w:vAlign w:val="center"/>
          </w:tcPr>
          <w:p w14:paraId="0049FF33">
            <w:pPr>
              <w:widowControl/>
              <w:spacing w:line="320" w:lineRule="exact"/>
              <w:ind w:right="-199" w:rightChars="-95" w:firstLine="420" w:firstLineChars="200"/>
              <w:jc w:val="center"/>
              <w:rPr>
                <w:rFonts w:hint="eastAsia"/>
                <w:color w:val="auto"/>
                <w:lang w:val="en-US" w:eastAsia="zh-CN"/>
              </w:rPr>
            </w:pPr>
            <w:r>
              <w:rPr>
                <w:rFonts w:hint="eastAsia"/>
                <w:color w:val="auto"/>
                <w:lang w:val="en-US" w:eastAsia="zh-CN"/>
              </w:rPr>
              <w:t>基础服务费</w:t>
            </w:r>
          </w:p>
        </w:tc>
      </w:tr>
      <w:tr w14:paraId="1598CC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5E68DB4B">
            <w:pPr>
              <w:widowControl/>
              <w:spacing w:line="320" w:lineRule="exact"/>
              <w:ind w:right="-199" w:rightChars="-95" w:firstLine="420" w:firstLineChars="200"/>
              <w:jc w:val="center"/>
              <w:rPr>
                <w:rFonts w:hint="eastAsia"/>
                <w:color w:val="auto"/>
              </w:rPr>
            </w:pPr>
            <w:r>
              <w:rPr>
                <w:rFonts w:hint="eastAsia"/>
                <w:color w:val="auto"/>
              </w:rPr>
              <w:t>500万元以下（含）</w:t>
            </w:r>
          </w:p>
        </w:tc>
        <w:tc>
          <w:tcPr>
            <w:tcW w:w="3015" w:type="dxa"/>
            <w:vAlign w:val="center"/>
          </w:tcPr>
          <w:p w14:paraId="553B3B6B">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3%</w:t>
            </w:r>
          </w:p>
        </w:tc>
      </w:tr>
      <w:tr w14:paraId="6647F4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0447E792">
            <w:pPr>
              <w:widowControl/>
              <w:spacing w:line="320" w:lineRule="exact"/>
              <w:ind w:right="-199" w:rightChars="-95" w:firstLine="420" w:firstLineChars="200"/>
              <w:jc w:val="center"/>
              <w:rPr>
                <w:rFonts w:hint="eastAsia"/>
                <w:color w:val="auto"/>
              </w:rPr>
            </w:pPr>
            <w:r>
              <w:rPr>
                <w:rFonts w:hint="eastAsia"/>
                <w:color w:val="auto"/>
              </w:rPr>
              <w:t>500万元-2000万元（含）</w:t>
            </w:r>
          </w:p>
        </w:tc>
        <w:tc>
          <w:tcPr>
            <w:tcW w:w="3015" w:type="dxa"/>
            <w:vAlign w:val="center"/>
          </w:tcPr>
          <w:p w14:paraId="5EC17094">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2%</w:t>
            </w:r>
          </w:p>
        </w:tc>
      </w:tr>
      <w:tr w14:paraId="703D82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3B2E3F76">
            <w:pPr>
              <w:widowControl/>
              <w:spacing w:line="320" w:lineRule="exact"/>
              <w:ind w:right="-199" w:rightChars="-95" w:firstLine="420" w:firstLineChars="200"/>
              <w:jc w:val="center"/>
              <w:rPr>
                <w:rFonts w:hint="eastAsia"/>
                <w:color w:val="auto"/>
              </w:rPr>
            </w:pPr>
            <w:r>
              <w:rPr>
                <w:rFonts w:hint="eastAsia"/>
                <w:color w:val="auto"/>
              </w:rPr>
              <w:t>2000万元-1亿元（含）</w:t>
            </w:r>
          </w:p>
        </w:tc>
        <w:tc>
          <w:tcPr>
            <w:tcW w:w="3015" w:type="dxa"/>
            <w:vAlign w:val="center"/>
          </w:tcPr>
          <w:p w14:paraId="372D7461">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1%</w:t>
            </w:r>
          </w:p>
        </w:tc>
      </w:tr>
      <w:tr w14:paraId="29A102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5BEF58D3">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15" w:type="dxa"/>
            <w:vAlign w:val="center"/>
          </w:tcPr>
          <w:p w14:paraId="1B3A0047">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0.5%</w:t>
            </w:r>
          </w:p>
        </w:tc>
      </w:tr>
      <w:tr w14:paraId="0CC6A0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67CFAAED">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15" w:type="dxa"/>
            <w:vAlign w:val="center"/>
          </w:tcPr>
          <w:p w14:paraId="139F9653">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0.2%</w:t>
            </w:r>
          </w:p>
        </w:tc>
      </w:tr>
    </w:tbl>
    <w:p w14:paraId="3BC51FED">
      <w:pPr>
        <w:widowControl/>
        <w:spacing w:line="320" w:lineRule="exact"/>
        <w:ind w:right="-199" w:rightChars="-95" w:firstLine="420" w:firstLineChars="200"/>
        <w:rPr>
          <w:rFonts w:hint="eastAsia"/>
          <w:color w:val="auto"/>
          <w:lang w:eastAsia="zh-CN"/>
        </w:rPr>
      </w:pPr>
      <w:r>
        <w:rPr>
          <w:rFonts w:hint="eastAsia"/>
          <w:color w:val="auto"/>
          <w:lang w:val="en-US" w:eastAsia="zh-CN"/>
        </w:rPr>
        <w:t>项目竞价成交但未产生溢价的，按协议成交方式收费。</w:t>
      </w:r>
    </w:p>
    <w:p w14:paraId="33504DBF">
      <w:pPr>
        <w:widowControl/>
        <w:adjustRightInd w:val="0"/>
        <w:snapToGrid w:val="0"/>
        <w:spacing w:line="360" w:lineRule="exact"/>
        <w:ind w:firstLine="420" w:firstLineChars="200"/>
        <w:jc w:val="left"/>
        <w:rPr>
          <w:rFonts w:asciiTheme="minorEastAsia" w:hAnsiTheme="minorEastAsia"/>
          <w:szCs w:val="21"/>
        </w:rPr>
      </w:pPr>
      <w:r>
        <w:rPr>
          <w:rFonts w:hint="eastAsia" w:asciiTheme="minorEastAsia" w:hAnsiTheme="minorEastAsia"/>
          <w:color w:val="auto"/>
          <w:szCs w:val="21"/>
        </w:rPr>
        <w:t>十四、</w:t>
      </w:r>
      <w:r>
        <w:rPr>
          <w:rFonts w:hint="eastAsia" w:ascii="宋体" w:hAnsi="宋体" w:eastAsia="宋体" w:cs="宋体"/>
          <w:color w:val="auto"/>
          <w:kern w:val="0"/>
          <w:szCs w:val="21"/>
        </w:rPr>
        <w:t>意向受让方须对其书面及交易系统提交的主体身份信息、银行账户信息和</w:t>
      </w:r>
      <w:r>
        <w:rPr>
          <w:rFonts w:hint="eastAsia" w:ascii="宋体" w:hAnsi="宋体" w:eastAsia="宋体" w:cs="宋体"/>
          <w:color w:val="000000"/>
          <w:kern w:val="0"/>
          <w:szCs w:val="21"/>
        </w:rPr>
        <w:t>相关报名资格材料的真实性、完整性、合法性、有效性承担法律责任，并确保其内容不存在虚假记载、误导性陈述或重大遗漏。如意向受让方提供虚假资料、扰乱报价、恶意串通或其他违反法律法规的，</w:t>
      </w:r>
      <w:r>
        <w:rPr>
          <w:rFonts w:hint="eastAsia" w:ascii="宋体" w:hAnsi="宋体" w:eastAsia="宋体" w:cs="宋体"/>
          <w:color w:val="000000"/>
          <w:kern w:val="0"/>
          <w:szCs w:val="21"/>
          <w:lang w:eastAsia="zh-CN"/>
        </w:rPr>
        <w:t>文交所</w:t>
      </w:r>
      <w:r>
        <w:rPr>
          <w:rFonts w:hint="eastAsia" w:ascii="宋体" w:hAnsi="宋体" w:eastAsia="宋体" w:cs="宋体"/>
          <w:color w:val="000000"/>
          <w:kern w:val="0"/>
          <w:szCs w:val="21"/>
        </w:rPr>
        <w:t>有权取消其购买资格、确认报价无效，并扣收其保证金，保留对其追究法律责任的权利。</w:t>
      </w:r>
    </w:p>
    <w:p w14:paraId="401782F9">
      <w:pPr>
        <w:widowControl/>
        <w:adjustRightInd w:val="0"/>
        <w:snapToGrid w:val="0"/>
        <w:spacing w:line="360" w:lineRule="exact"/>
        <w:ind w:firstLine="420" w:firstLineChars="200"/>
        <w:jc w:val="left"/>
        <w:rPr>
          <w:rFonts w:asciiTheme="minorEastAsia" w:hAnsiTheme="minorEastAsia"/>
          <w:color w:val="000000" w:themeColor="text1"/>
          <w:kern w:val="0"/>
          <w:szCs w:val="21"/>
          <w14:textFill>
            <w14:solidFill>
              <w14:schemeClr w14:val="tx1"/>
            </w14:solidFill>
          </w14:textFill>
        </w:rPr>
      </w:pPr>
      <w:r>
        <w:rPr>
          <w:rFonts w:hint="eastAsia" w:asciiTheme="minorEastAsia" w:hAnsiTheme="minorEastAsia"/>
          <w:color w:val="000000" w:themeColor="text1"/>
          <w:kern w:val="0"/>
          <w:szCs w:val="21"/>
          <w14:textFill>
            <w14:solidFill>
              <w14:schemeClr w14:val="tx1"/>
            </w14:solidFill>
          </w14:textFill>
        </w:rPr>
        <w:t>十五、</w:t>
      </w:r>
      <w:r>
        <w:rPr>
          <w:rFonts w:hint="eastAsia" w:cs="宋体" w:asciiTheme="minorEastAsia" w:hAnsiTheme="minorEastAsia"/>
          <w:kern w:val="0"/>
          <w:szCs w:val="21"/>
        </w:rPr>
        <w:t>受让方的保证金转为履约保证金。未购买成功且无违约责任的</w:t>
      </w:r>
      <w:r>
        <w:rPr>
          <w:rFonts w:hint="eastAsia" w:cs="宋体" w:asciiTheme="minorEastAsia" w:hAnsiTheme="minorEastAsia"/>
          <w:color w:val="000000" w:themeColor="text1"/>
          <w:kern w:val="0"/>
          <w:szCs w:val="21"/>
          <w14:textFill>
            <w14:solidFill>
              <w14:schemeClr w14:val="tx1"/>
            </w14:solidFill>
          </w14:textFill>
        </w:rPr>
        <w:t>意向受让方，</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于确定受让方后2个工作日内将其保证金无息退还。</w:t>
      </w:r>
    </w:p>
    <w:p w14:paraId="4D3F7669">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kern w:val="0"/>
          <w:szCs w:val="21"/>
        </w:rPr>
        <w:t>十六、</w:t>
      </w:r>
      <w:r>
        <w:rPr>
          <w:rFonts w:hint="eastAsia" w:cs="宋体" w:asciiTheme="minorEastAsia" w:hAnsiTheme="minorEastAsia"/>
          <w:color w:val="000000" w:themeColor="text1"/>
          <w:kern w:val="0"/>
          <w:szCs w:val="21"/>
          <w14:textFill>
            <w14:solidFill>
              <w14:schemeClr w14:val="tx1"/>
            </w14:solidFill>
          </w14:textFill>
        </w:rPr>
        <w:t>受让方未按时支付交易价款及</w:t>
      </w:r>
      <w:r>
        <w:rPr>
          <w:rFonts w:hint="eastAsia" w:cs="宋体" w:asciiTheme="minorEastAsia" w:hAnsiTheme="minorEastAsia"/>
          <w:kern w:val="0"/>
          <w:szCs w:val="21"/>
          <w:lang w:val="en-US" w:eastAsia="zh-CN"/>
        </w:rPr>
        <w:t>交易费用</w:t>
      </w:r>
      <w:r>
        <w:rPr>
          <w:rFonts w:hint="eastAsia" w:cs="宋体" w:asciiTheme="minorEastAsia" w:hAnsiTheme="minorEastAsia"/>
          <w:color w:val="000000" w:themeColor="text1"/>
          <w:kern w:val="0"/>
          <w:szCs w:val="21"/>
          <w14:textFill>
            <w14:solidFill>
              <w14:schemeClr w14:val="tx1"/>
            </w14:solidFill>
          </w14:textFill>
        </w:rPr>
        <w:t>的，构成违约。</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有权扣收其保证金，违约方须向</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交纳本次网络竞价中受让方及转让方应支付的</w:t>
      </w:r>
      <w:r>
        <w:rPr>
          <w:rFonts w:hint="eastAsia" w:cs="宋体" w:asciiTheme="minorEastAsia" w:hAnsiTheme="minorEastAsia"/>
          <w:kern w:val="0"/>
          <w:szCs w:val="21"/>
          <w:lang w:val="en-US" w:eastAsia="zh-CN"/>
        </w:rPr>
        <w:t>交易费用</w:t>
      </w:r>
      <w:r>
        <w:rPr>
          <w:rFonts w:hint="eastAsia" w:cs="宋体" w:asciiTheme="minorEastAsia" w:hAnsiTheme="minorEastAsia"/>
          <w:color w:val="000000" w:themeColor="text1"/>
          <w:kern w:val="0"/>
          <w:szCs w:val="21"/>
          <w14:textFill>
            <w14:solidFill>
              <w14:schemeClr w14:val="tx1"/>
            </w14:solidFill>
          </w14:textFill>
        </w:rPr>
        <w:t>。</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有权再次组织本项目的交易活动，再次成交的成交价如低于本次成交价，则差额部分由违约方补足。违约方的保证金不足以弥补上述费用的，</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、转让方有权向违约方进行追索。</w:t>
      </w:r>
    </w:p>
    <w:p w14:paraId="38E946A8">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本次资产转让有关的变更手续办理完毕后，受让方应在3个工作日内通知</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将交易价款无息划转给转让方。如受让方自本次资产转让有关的变更手续办理完毕之日起10个工作日未通知</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将交易价款无息划转给转让方，且未向</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提交书面异议并就《资产交易合同》的履行提交诉讼、仲裁的，</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有权自行将交易价</w:t>
      </w:r>
      <w:r>
        <w:rPr>
          <w:rFonts w:hint="eastAsia" w:cs="宋体" w:asciiTheme="minorEastAsia" w:hAnsiTheme="minorEastAsia"/>
          <w:kern w:val="0"/>
          <w:szCs w:val="21"/>
        </w:rPr>
        <w:t>款无息划转给转让方。</w:t>
      </w:r>
    </w:p>
    <w:p w14:paraId="18198405">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color w:val="000000" w:themeColor="text1"/>
          <w:kern w:val="0"/>
          <w:szCs w:val="21"/>
          <w14:textFill>
            <w14:solidFill>
              <w14:schemeClr w14:val="tx1"/>
            </w14:solidFill>
          </w14:textFill>
        </w:rPr>
        <w:t>十七、</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将按以下方式之一向意向受让方发送有关事项通知：</w:t>
      </w:r>
    </w:p>
    <w:p w14:paraId="42D0F926">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1、通过意向受让方在</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交易系统预留的邮箱发送邮件 ；</w:t>
      </w:r>
    </w:p>
    <w:p w14:paraId="4032B7F0">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2、按意向受让方提交的报名材料或交易系统中载明的联系人手机号码发送手机短信。</w:t>
      </w:r>
    </w:p>
    <w:p w14:paraId="67172228">
      <w:pPr>
        <w:widowControl/>
        <w:adjustRightInd w:val="0"/>
        <w:snapToGrid w:val="0"/>
        <w:spacing w:line="360" w:lineRule="exact"/>
        <w:ind w:firstLine="420" w:firstLineChars="200"/>
        <w:jc w:val="left"/>
        <w:rPr>
          <w:rFonts w:cs="宋体" w:asciiTheme="minorEastAsia" w:hAnsiTheme="minorEastAsia"/>
          <w:kern w:val="0"/>
          <w:szCs w:val="21"/>
          <w:u w:val="single"/>
        </w:rPr>
      </w:pPr>
      <w:r>
        <w:rPr>
          <w:rFonts w:hint="eastAsia" w:cs="宋体" w:asciiTheme="minorEastAsia" w:hAnsiTheme="minorEastAsia"/>
          <w:kern w:val="0"/>
          <w:szCs w:val="21"/>
        </w:rPr>
        <w:t>邮箱信息或手机短信一旦发送成功，即视为意向受让方已经收到。</w:t>
      </w:r>
      <w:r>
        <w:rPr>
          <w:rFonts w:hint="eastAsia" w:cs="宋体" w:asciiTheme="minorEastAsia" w:hAnsiTheme="minorEastAsia"/>
          <w:b/>
          <w:kern w:val="0"/>
          <w:szCs w:val="21"/>
          <w:u w:val="single"/>
        </w:rPr>
        <w:t>请意向受让方确保其网上注册账户信息及报名材料信息准确无误，并保持手机通讯通畅，及时查看通知消息。</w:t>
      </w:r>
    </w:p>
    <w:p w14:paraId="5B555BDB">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color w:val="000000" w:themeColor="text1"/>
          <w:kern w:val="0"/>
          <w:szCs w:val="21"/>
          <w14:textFill>
            <w14:solidFill>
              <w14:schemeClr w14:val="tx1"/>
            </w14:solidFill>
          </w14:textFill>
        </w:rPr>
        <w:t>十八、</w:t>
      </w:r>
      <w:r>
        <w:rPr>
          <w:rFonts w:hint="eastAsia" w:asciiTheme="minorEastAsia" w:hAnsiTheme="minorEastAsia"/>
          <w:szCs w:val="21"/>
        </w:rPr>
        <w:t>意向受让方应妥善保管自己的网上注册账户和密码，并对其注册账户的安全性负责，任何人使用意向受让方的网上注册账户进行网上报名和参与竞价活动的，均视为意向受让方的真实意思表示，并视为意向受让方已取得有权机构的审批或授权。</w:t>
      </w:r>
    </w:p>
    <w:p w14:paraId="6BB10700">
      <w:pPr>
        <w:widowControl/>
        <w:adjustRightInd w:val="0"/>
        <w:snapToGrid w:val="0"/>
        <w:spacing w:line="360" w:lineRule="exact"/>
        <w:ind w:firstLine="420" w:firstLineChars="200"/>
        <w:jc w:val="left"/>
        <w:rPr>
          <w:rFonts w:asciiTheme="minorEastAsia" w:hAnsiTheme="minorEastAsia"/>
          <w:kern w:val="0"/>
          <w:szCs w:val="21"/>
        </w:rPr>
      </w:pPr>
      <w:r>
        <w:rPr>
          <w:rFonts w:hint="eastAsia" w:cs="宋体" w:asciiTheme="minorEastAsia" w:hAnsiTheme="minorEastAsia"/>
          <w:kern w:val="0"/>
          <w:szCs w:val="21"/>
        </w:rPr>
        <w:t>十九、因意向受让方如下行为产生的一切后果，</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不承担任何责任：</w:t>
      </w:r>
    </w:p>
    <w:p w14:paraId="6A060914">
      <w:pPr>
        <w:widowControl/>
        <w:adjustRightInd w:val="0"/>
        <w:snapToGrid w:val="0"/>
        <w:spacing w:line="360" w:lineRule="exact"/>
        <w:ind w:firstLine="420" w:firstLineChars="200"/>
        <w:jc w:val="left"/>
        <w:rPr>
          <w:rFonts w:asciiTheme="minorEastAsia" w:hAnsiTheme="minorEastAsia"/>
          <w:kern w:val="0"/>
          <w:szCs w:val="21"/>
        </w:rPr>
      </w:pPr>
      <w:r>
        <w:rPr>
          <w:rFonts w:cs="宋体" w:asciiTheme="minorEastAsia" w:hAnsiTheme="minorEastAsia"/>
          <w:kern w:val="0"/>
          <w:szCs w:val="21"/>
        </w:rPr>
        <w:t>1</w:t>
      </w:r>
      <w:r>
        <w:rPr>
          <w:rFonts w:hint="eastAsia" w:cs="宋体" w:asciiTheme="minorEastAsia" w:hAnsiTheme="minorEastAsia"/>
          <w:kern w:val="0"/>
          <w:szCs w:val="21"/>
        </w:rPr>
        <w:t>、未及时关注</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及竞价系统发布的网络竞价活动相关信息的；</w:t>
      </w:r>
    </w:p>
    <w:p w14:paraId="4B301A28">
      <w:pPr>
        <w:widowControl/>
        <w:adjustRightInd w:val="0"/>
        <w:snapToGrid w:val="0"/>
        <w:spacing w:line="360" w:lineRule="exact"/>
        <w:ind w:firstLine="420" w:firstLineChars="200"/>
        <w:jc w:val="left"/>
        <w:rPr>
          <w:rFonts w:asciiTheme="minorEastAsia" w:hAnsiTheme="minorEastAsia"/>
          <w:kern w:val="0"/>
          <w:szCs w:val="21"/>
        </w:rPr>
      </w:pPr>
      <w:r>
        <w:rPr>
          <w:rFonts w:cs="宋体" w:asciiTheme="minorEastAsia" w:hAnsiTheme="minorEastAsia"/>
          <w:kern w:val="0"/>
          <w:szCs w:val="21"/>
        </w:rPr>
        <w:t>2</w:t>
      </w:r>
      <w:r>
        <w:rPr>
          <w:rFonts w:hint="eastAsia" w:cs="宋体" w:asciiTheme="minorEastAsia" w:hAnsiTheme="minorEastAsia"/>
          <w:kern w:val="0"/>
          <w:szCs w:val="21"/>
        </w:rPr>
        <w:t>、由于意向受让方使用的终端设备和网络异常等原因导致无法正常报价的；</w:t>
      </w:r>
    </w:p>
    <w:p w14:paraId="1C92412D">
      <w:pPr>
        <w:widowControl/>
        <w:adjustRightInd w:val="0"/>
        <w:snapToGrid w:val="0"/>
        <w:spacing w:line="360" w:lineRule="exact"/>
        <w:ind w:firstLine="420" w:firstLineChars="200"/>
        <w:jc w:val="left"/>
        <w:rPr>
          <w:rFonts w:hint="eastAsia" w:cs="宋体" w:asciiTheme="minorEastAsia" w:hAnsiTheme="minorEastAsia"/>
          <w:kern w:val="0"/>
          <w:szCs w:val="21"/>
        </w:rPr>
      </w:pPr>
      <w:r>
        <w:rPr>
          <w:rFonts w:cs="宋体" w:asciiTheme="minorEastAsia" w:hAnsiTheme="minorEastAsia"/>
          <w:kern w:val="0"/>
          <w:szCs w:val="21"/>
        </w:rPr>
        <w:t>3</w:t>
      </w:r>
      <w:r>
        <w:rPr>
          <w:rFonts w:hint="eastAsia" w:cs="宋体" w:asciiTheme="minorEastAsia" w:hAnsiTheme="minorEastAsia"/>
          <w:kern w:val="0"/>
          <w:szCs w:val="21"/>
        </w:rPr>
        <w:t>、网络竞价活动的时间以竞价系统服务器时间为准。由于意向受让方使用的终端设备时间与竞价系统服务器时间不符而导致未按时参与报价的</w:t>
      </w:r>
      <w:r>
        <w:rPr>
          <w:rFonts w:hint="eastAsia" w:cs="宋体" w:asciiTheme="minorEastAsia" w:hAnsiTheme="minorEastAsia"/>
          <w:kern w:val="0"/>
          <w:szCs w:val="21"/>
          <w:lang w:eastAsia="zh-CN"/>
        </w:rPr>
        <w:t>；</w:t>
      </w:r>
    </w:p>
    <w:p w14:paraId="7CAEFB20">
      <w:pPr>
        <w:widowControl/>
        <w:adjustRightInd w:val="0"/>
        <w:snapToGrid w:val="0"/>
        <w:spacing w:line="360" w:lineRule="exact"/>
        <w:ind w:firstLine="420" w:firstLineChars="200"/>
        <w:jc w:val="left"/>
        <w:rPr>
          <w:rFonts w:hint="eastAsia" w:cs="宋体" w:asciiTheme="minorEastAsia" w:hAnsiTheme="minorEastAsia" w:eastAsiaTheme="minorEastAsia"/>
          <w:color w:val="0000FF"/>
          <w:kern w:val="0"/>
          <w:szCs w:val="21"/>
          <w:lang w:val="en-US" w:eastAsia="zh-CN"/>
        </w:rPr>
      </w:pPr>
      <w:r>
        <w:rPr>
          <w:rFonts w:hint="eastAsia" w:cs="宋体" w:asciiTheme="minorEastAsia" w:hAnsiTheme="minorEastAsia" w:eastAsiaTheme="minorEastAsia"/>
          <w:color w:val="0000FF"/>
          <w:kern w:val="0"/>
          <w:szCs w:val="21"/>
          <w:lang w:val="en-US" w:eastAsia="zh-CN"/>
        </w:rPr>
        <w:t>4.根据《竞价现场管理规定（暂行）》无法正常组织网络竞价的；</w:t>
      </w:r>
    </w:p>
    <w:p w14:paraId="303A0D0A">
      <w:pPr>
        <w:widowControl/>
        <w:adjustRightInd w:val="0"/>
        <w:snapToGrid w:val="0"/>
        <w:spacing w:line="360" w:lineRule="exact"/>
        <w:ind w:firstLine="420" w:firstLineChars="200"/>
        <w:jc w:val="left"/>
        <w:rPr>
          <w:rFonts w:hint="eastAsia" w:cs="宋体" w:asciiTheme="minorEastAsia" w:hAnsiTheme="minorEastAsia" w:eastAsiaTheme="minorEastAsia"/>
          <w:color w:val="0000FF"/>
          <w:kern w:val="0"/>
          <w:szCs w:val="21"/>
          <w:lang w:val="en-US" w:eastAsia="zh-CN"/>
        </w:rPr>
      </w:pPr>
      <w:r>
        <w:rPr>
          <w:rFonts w:hint="eastAsia" w:cs="宋体" w:asciiTheme="minorEastAsia" w:hAnsiTheme="minorEastAsia" w:eastAsiaTheme="minorEastAsia"/>
          <w:color w:val="0000FF"/>
          <w:kern w:val="0"/>
          <w:szCs w:val="21"/>
          <w:lang w:val="en-US" w:eastAsia="zh-CN"/>
        </w:rPr>
        <w:t>以及其他适用于互联网站的中华人民共和国法律法规规定的有关免责行为。</w:t>
      </w:r>
    </w:p>
    <w:p w14:paraId="38981738">
      <w:pPr>
        <w:widowControl/>
        <w:adjustRightInd w:val="0"/>
        <w:snapToGrid w:val="0"/>
        <w:spacing w:line="360" w:lineRule="exact"/>
        <w:ind w:firstLine="420" w:firstLineChars="200"/>
        <w:jc w:val="left"/>
        <w:rPr>
          <w:rFonts w:asciiTheme="minorEastAsia" w:hAnsiTheme="minorEastAsia"/>
          <w:kern w:val="0"/>
          <w:szCs w:val="21"/>
        </w:rPr>
      </w:pPr>
      <w:r>
        <w:rPr>
          <w:rFonts w:hint="eastAsia" w:cs="宋体" w:asciiTheme="minorEastAsia" w:hAnsiTheme="minorEastAsia"/>
          <w:color w:val="000000" w:themeColor="text1"/>
          <w:kern w:val="0"/>
          <w:szCs w:val="21"/>
          <w14:textFill>
            <w14:solidFill>
              <w14:schemeClr w14:val="tx1"/>
            </w14:solidFill>
          </w14:textFill>
        </w:rPr>
        <w:t>二十、竞价系统因不可抗力、软硬件故障、非法入侵、恶意攻击等原因而导致系统异常</w:t>
      </w:r>
      <w:r>
        <w:rPr>
          <w:rFonts w:hint="eastAsia" w:cs="宋体" w:asciiTheme="minorEastAsia" w:hAnsiTheme="minorEastAsia"/>
          <w:kern w:val="0"/>
          <w:szCs w:val="21"/>
        </w:rPr>
        <w:t>、竞价活动中断的，</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不承担任何责任。</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将视情况组织继续报价或重新报价，并通过</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网站通知各意向受让方。继续报价或重新报价的方式如下：</w:t>
      </w:r>
    </w:p>
    <w:p w14:paraId="64E2F42B">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报价记录可以恢复的，以中断时的最高有效报价为起始价继续报价；报价记录无法恢复的，以转让底价为起始价重新报价。</w:t>
      </w:r>
    </w:p>
    <w:p w14:paraId="0D14A859">
      <w:pPr>
        <w:widowControl/>
        <w:adjustRightInd w:val="0"/>
        <w:snapToGrid w:val="0"/>
        <w:spacing w:line="360" w:lineRule="exact"/>
        <w:ind w:firstLine="420" w:firstLineChars="200"/>
        <w:jc w:val="left"/>
        <w:rPr>
          <w:rFonts w:asciiTheme="minorEastAsia" w:hAnsiTheme="minorEastAsia"/>
          <w:kern w:val="0"/>
          <w:szCs w:val="21"/>
        </w:rPr>
      </w:pPr>
      <w:r>
        <w:rPr>
          <w:rFonts w:hint="eastAsia" w:cs="宋体" w:asciiTheme="minorEastAsia" w:hAnsiTheme="minorEastAsia"/>
          <w:kern w:val="0"/>
          <w:szCs w:val="21"/>
        </w:rPr>
        <w:t>二十一、</w:t>
      </w:r>
      <w:r>
        <w:rPr>
          <w:rFonts w:hint="eastAsia" w:ascii="宋体" w:hAnsi="宋体" w:eastAsia="宋体" w:cs="宋体"/>
          <w:kern w:val="0"/>
          <w:szCs w:val="21"/>
        </w:rPr>
        <w:t>意向受让方须同意，如违反本项目《须知》的，</w:t>
      </w:r>
      <w:r>
        <w:rPr>
          <w:rFonts w:hint="eastAsia" w:ascii="宋体" w:hAnsi="宋体" w:eastAsia="宋体" w:cs="宋体"/>
          <w:kern w:val="0"/>
          <w:szCs w:val="21"/>
          <w:lang w:eastAsia="zh-CN"/>
        </w:rPr>
        <w:t>文交所</w:t>
      </w:r>
      <w:r>
        <w:rPr>
          <w:rFonts w:hint="eastAsia" w:ascii="宋体" w:hAnsi="宋体" w:eastAsia="宋体" w:cs="宋体"/>
          <w:kern w:val="0"/>
          <w:szCs w:val="21"/>
        </w:rPr>
        <w:t>有权取消其竞买资格，并同意</w:t>
      </w:r>
      <w:r>
        <w:rPr>
          <w:rFonts w:hint="eastAsia" w:ascii="宋体" w:hAnsi="宋体" w:eastAsia="宋体" w:cs="宋体"/>
          <w:kern w:val="0"/>
          <w:szCs w:val="21"/>
          <w:lang w:eastAsia="zh-CN"/>
        </w:rPr>
        <w:t>文交所</w:t>
      </w:r>
      <w:r>
        <w:rPr>
          <w:rFonts w:hint="eastAsia" w:ascii="宋体" w:hAnsi="宋体" w:eastAsia="宋体" w:cs="宋体"/>
          <w:kern w:val="0"/>
          <w:szCs w:val="21"/>
        </w:rPr>
        <w:t>根据《</w:t>
      </w:r>
      <w:r>
        <w:rPr>
          <w:rFonts w:hint="eastAsia"/>
          <w:lang w:eastAsia="zh-CN"/>
        </w:rPr>
        <w:t>山东文化产权交易所</w:t>
      </w:r>
      <w:r>
        <w:rPr>
          <w:rFonts w:hint="eastAsia"/>
        </w:rPr>
        <w:t>产权保证金</w:t>
      </w:r>
      <w:r>
        <w:rPr>
          <w:rFonts w:hint="eastAsia"/>
          <w:lang w:eastAsia="zh-CN"/>
        </w:rPr>
        <w:t>出款</w:t>
      </w:r>
      <w:r>
        <w:rPr>
          <w:rFonts w:hint="eastAsia"/>
        </w:rPr>
        <w:t>操作</w:t>
      </w:r>
      <w:r>
        <w:rPr>
          <w:rFonts w:hint="eastAsia"/>
          <w:lang w:eastAsia="zh-CN"/>
        </w:rPr>
        <w:t>规定</w:t>
      </w:r>
      <w:r>
        <w:rPr>
          <w:rFonts w:hint="eastAsia" w:ascii="宋体" w:hAnsi="宋体" w:eastAsia="宋体" w:cs="宋体"/>
          <w:kern w:val="0"/>
          <w:szCs w:val="21"/>
        </w:rPr>
        <w:t>》及本项目《须知》扣收其交纳的保证金。</w:t>
      </w:r>
    </w:p>
    <w:p w14:paraId="66F06875">
      <w:pPr>
        <w:widowControl/>
        <w:adjustRightInd w:val="0"/>
        <w:snapToGrid w:val="0"/>
        <w:spacing w:line="360" w:lineRule="exact"/>
        <w:ind w:firstLine="420" w:firstLineChars="200"/>
        <w:jc w:val="left"/>
        <w:rPr>
          <w:rFonts w:ascii="宋体" w:hAnsi="宋体" w:eastAsia="宋体" w:cs="宋体"/>
          <w:kern w:val="0"/>
          <w:szCs w:val="21"/>
        </w:rPr>
      </w:pPr>
      <w:r>
        <w:rPr>
          <w:rFonts w:hint="eastAsia" w:cs="宋体" w:asciiTheme="minorEastAsia" w:hAnsiTheme="minorEastAsia"/>
          <w:kern w:val="0"/>
          <w:szCs w:val="21"/>
        </w:rPr>
        <w:t>二十二、</w:t>
      </w:r>
      <w:r>
        <w:rPr>
          <w:rFonts w:hint="eastAsia" w:ascii="宋体" w:hAnsi="宋体" w:eastAsia="宋体" w:cs="宋体"/>
          <w:kern w:val="0"/>
          <w:szCs w:val="21"/>
        </w:rPr>
        <w:t>意向受让方须同意，被确定为受让方后不能在规定时间内付清交易价款及</w:t>
      </w:r>
      <w:r>
        <w:rPr>
          <w:rFonts w:hint="eastAsia" w:cs="宋体" w:asciiTheme="minorEastAsia" w:hAnsiTheme="minorEastAsia"/>
          <w:kern w:val="0"/>
          <w:szCs w:val="21"/>
          <w:lang w:val="en-US" w:eastAsia="zh-CN"/>
        </w:rPr>
        <w:t>交易费用</w:t>
      </w:r>
      <w:r>
        <w:rPr>
          <w:rFonts w:hint="eastAsia" w:ascii="宋体" w:hAnsi="宋体" w:eastAsia="宋体" w:cs="宋体"/>
          <w:kern w:val="0"/>
          <w:szCs w:val="21"/>
        </w:rPr>
        <w:t>、按要求完成项目移交的，承诺承担以下责任：</w:t>
      </w:r>
    </w:p>
    <w:p w14:paraId="0233ACB1">
      <w:pPr>
        <w:widowControl/>
        <w:adjustRightInd w:val="0"/>
        <w:snapToGrid w:val="0"/>
        <w:spacing w:line="360" w:lineRule="exact"/>
        <w:ind w:firstLine="420" w:firstLineChars="200"/>
        <w:jc w:val="left"/>
        <w:rPr>
          <w:rFonts w:ascii="宋体" w:hAnsi="宋体" w:eastAsia="宋体" w:cs="宋体"/>
          <w:kern w:val="0"/>
          <w:szCs w:val="21"/>
        </w:rPr>
      </w:pPr>
      <w:r>
        <w:rPr>
          <w:rFonts w:hint="eastAsia" w:ascii="宋体" w:hAnsi="宋体" w:eastAsia="宋体" w:cs="宋体"/>
          <w:kern w:val="0"/>
          <w:szCs w:val="21"/>
        </w:rPr>
        <w:t>1、</w:t>
      </w:r>
      <w:r>
        <w:rPr>
          <w:rFonts w:hint="eastAsia" w:ascii="宋体" w:hAnsi="宋体" w:eastAsia="宋体" w:cs="Times New Roman"/>
          <w:color w:val="auto"/>
          <w:kern w:val="0"/>
          <w:szCs w:val="21"/>
          <w:lang w:val="en-US" w:eastAsia="zh-CN"/>
        </w:rPr>
        <w:t>未能付清全部交易价款及</w:t>
      </w:r>
      <w:r>
        <w:rPr>
          <w:rFonts w:hint="eastAsia" w:cs="宋体" w:asciiTheme="minorEastAsia" w:hAnsiTheme="minorEastAsia"/>
          <w:kern w:val="0"/>
          <w:szCs w:val="21"/>
          <w:lang w:val="en-US" w:eastAsia="zh-CN"/>
        </w:rPr>
        <w:t>交易费用</w:t>
      </w:r>
      <w:r>
        <w:rPr>
          <w:rFonts w:hint="eastAsia" w:ascii="宋体" w:hAnsi="宋体" w:eastAsia="宋体" w:cs="Times New Roman"/>
          <w:color w:val="auto"/>
          <w:kern w:val="0"/>
          <w:szCs w:val="21"/>
          <w:lang w:val="en-US" w:eastAsia="zh-CN"/>
        </w:rPr>
        <w:t>的，构成违约，同意按照挂牌价格的10%向文交所支付违约金；</w:t>
      </w:r>
      <w:r>
        <w:rPr>
          <w:rFonts w:hint="eastAsia" w:ascii="宋体" w:hAnsi="宋体" w:eastAsia="宋体" w:cs="宋体"/>
          <w:kern w:val="0"/>
          <w:szCs w:val="21"/>
        </w:rPr>
        <w:t>转让方和</w:t>
      </w:r>
      <w:r>
        <w:rPr>
          <w:rFonts w:hint="eastAsia" w:ascii="宋体" w:hAnsi="宋体" w:eastAsia="宋体" w:cs="宋体"/>
          <w:kern w:val="0"/>
          <w:szCs w:val="21"/>
          <w:lang w:eastAsia="zh-CN"/>
        </w:rPr>
        <w:t>文交所</w:t>
      </w:r>
      <w:r>
        <w:rPr>
          <w:rFonts w:hint="eastAsia" w:ascii="宋体" w:hAnsi="宋体" w:eastAsia="宋体" w:cs="宋体"/>
          <w:kern w:val="0"/>
          <w:szCs w:val="21"/>
        </w:rPr>
        <w:t>有权再次组织本项目的交易活动，再次成交的成交价如低于本次成交价，则差额部分由受让方补足，并承担相关费用；同时承担本次交易活动受让方及转让方的全部交易费用。若保证金不足以弥补上述费用的，转让方和</w:t>
      </w:r>
      <w:r>
        <w:rPr>
          <w:rFonts w:hint="eastAsia" w:ascii="宋体" w:hAnsi="宋体" w:eastAsia="宋体" w:cs="宋体"/>
          <w:kern w:val="0"/>
          <w:szCs w:val="21"/>
          <w:lang w:eastAsia="zh-CN"/>
        </w:rPr>
        <w:t>文交所</w:t>
      </w:r>
      <w:r>
        <w:rPr>
          <w:rFonts w:hint="eastAsia" w:ascii="宋体" w:hAnsi="宋体" w:eastAsia="宋体" w:cs="宋体"/>
          <w:kern w:val="0"/>
          <w:szCs w:val="21"/>
        </w:rPr>
        <w:t>有权向受让方进行追索；</w:t>
      </w:r>
    </w:p>
    <w:p w14:paraId="49BE8560">
      <w:pPr>
        <w:widowControl/>
        <w:adjustRightInd w:val="0"/>
        <w:snapToGrid w:val="0"/>
        <w:spacing w:line="360" w:lineRule="exact"/>
        <w:ind w:firstLine="420" w:firstLineChars="200"/>
        <w:jc w:val="left"/>
        <w:rPr>
          <w:rFonts w:ascii="宋体" w:hAnsi="宋体" w:eastAsia="宋体" w:cs="宋体"/>
          <w:kern w:val="0"/>
          <w:szCs w:val="21"/>
        </w:rPr>
      </w:pPr>
      <w:r>
        <w:rPr>
          <w:rFonts w:hint="eastAsia" w:ascii="宋体" w:hAnsi="宋体" w:eastAsia="宋体" w:cs="宋体"/>
          <w:kern w:val="0"/>
          <w:szCs w:val="21"/>
        </w:rPr>
        <w:t>2、未按要求完成项目交割的，转让方不再承担相应保管责任，标的的毁损灭失风险由受让方承担。在标的移交过程中所发生的包括但不限于运输、拆解、保管、处理等一切费用均由受让方自行承担，并同意从受让方已交纳的保证金中扣除。移交过程中如造成标的存储地点的硬件设施及标的本身的损毁由受让方承担责任。</w:t>
      </w:r>
    </w:p>
    <w:p w14:paraId="4F09D744">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二十三、因本须知的履行或因与本须知有关的其他方面而产生的任何问题、争议或分歧，应首先通过友好协商加以解决。如</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或意向受让方任何一方发出要求协商解决的通知7日内，双方未能达成解决方案，则该问题、争议或分歧应由济南仲裁委员会仲裁。在仲裁过程中，除有争议正在进行仲裁或诉讼的部分外，本须知其他部分应继续履行。</w:t>
      </w:r>
    </w:p>
    <w:p w14:paraId="3DA0BE68">
      <w:pPr>
        <w:widowControl/>
        <w:adjustRightInd w:val="0"/>
        <w:snapToGrid w:val="0"/>
        <w:spacing w:line="360" w:lineRule="exact"/>
        <w:ind w:firstLine="420" w:firstLineChars="200"/>
        <w:jc w:val="left"/>
        <w:rPr>
          <w:rFonts w:asciiTheme="minorEastAsia" w:hAnsiTheme="minorEastAsia"/>
          <w:color w:val="000000" w:themeColor="text1"/>
          <w:kern w:val="0"/>
          <w:szCs w:val="21"/>
          <w14:textFill>
            <w14:solidFill>
              <w14:schemeClr w14:val="tx1"/>
            </w14:solidFill>
          </w14:textFill>
        </w:rPr>
      </w:pPr>
    </w:p>
    <w:p w14:paraId="1B15B8D9">
      <w:pPr>
        <w:widowControl/>
        <w:adjustRightInd w:val="0"/>
        <w:snapToGrid w:val="0"/>
        <w:spacing w:line="360" w:lineRule="exact"/>
        <w:ind w:right="-199" w:rightChars="-95" w:firstLine="163" w:firstLineChars="78"/>
        <w:jc w:val="left"/>
        <w:rPr>
          <w:rFonts w:cs="Times New Roman" w:asciiTheme="minorEastAsia" w:hAnsiTheme="minorEastAsia"/>
          <w:kern w:val="0"/>
          <w:szCs w:val="21"/>
        </w:rPr>
      </w:pPr>
    </w:p>
    <w:p w14:paraId="6DB7A551">
      <w:pPr>
        <w:widowControl/>
        <w:snapToGrid w:val="0"/>
        <w:spacing w:line="360" w:lineRule="exact"/>
        <w:ind w:right="-199" w:rightChars="-95" w:firstLine="163" w:firstLineChars="78"/>
        <w:jc w:val="left"/>
        <w:rPr>
          <w:rFonts w:hint="default" w:ascii="方正小标宋简体" w:eastAsia="宋体" w:cs="微软简标宋"/>
          <w:bCs/>
          <w:sz w:val="36"/>
          <w:szCs w:val="36"/>
          <w:lang w:val="en-US" w:eastAsia="zh-CN"/>
        </w:rPr>
      </w:pPr>
      <w:r>
        <w:rPr>
          <w:rFonts w:hint="eastAsia" w:cs="宋体" w:asciiTheme="minorEastAsia" w:hAnsiTheme="minorEastAsia"/>
          <w:color w:val="000000" w:themeColor="text1"/>
          <w:kern w:val="0"/>
          <w:szCs w:val="21"/>
          <w14:textFill>
            <w14:solidFill>
              <w14:schemeClr w14:val="tx1"/>
            </w14:solidFill>
          </w14:textFill>
        </w:rPr>
        <w:t xml:space="preserve"> </w:t>
      </w:r>
      <w:r>
        <w:rPr>
          <w:rFonts w:cs="宋体" w:asciiTheme="minorEastAsia" w:hAnsiTheme="minorEastAsia"/>
          <w:color w:val="000000" w:themeColor="text1"/>
          <w:kern w:val="0"/>
          <w:szCs w:val="21"/>
          <w14:textFill>
            <w14:solidFill>
              <w14:schemeClr w14:val="tx1"/>
            </w14:solidFill>
          </w14:textFill>
        </w:rPr>
        <w:t xml:space="preserve">                                                              </w:t>
      </w:r>
      <w:r>
        <w:rPr>
          <w:rFonts w:hint="eastAsia" w:cs="宋体" w:asciiTheme="minorEastAsia" w:hAnsiTheme="minorEastAsia"/>
          <w:color w:val="000000" w:themeColor="text1"/>
          <w:kern w:val="0"/>
          <w:szCs w:val="21"/>
          <w14:textFill>
            <w14:solidFill>
              <w14:schemeClr w14:val="tx1"/>
            </w14:solidFill>
          </w14:textFill>
        </w:rPr>
        <w:t>山东</w:t>
      </w:r>
      <w:r>
        <w:rPr>
          <w:rFonts w:hint="eastAsia" w:cs="宋体" w:asciiTheme="minorEastAsia" w:hAnsiTheme="minorEastAsia"/>
          <w:color w:val="000000" w:themeColor="text1"/>
          <w:kern w:val="0"/>
          <w:szCs w:val="21"/>
          <w:lang w:eastAsia="zh-CN"/>
          <w14:textFill>
            <w14:solidFill>
              <w14:schemeClr w14:val="tx1"/>
            </w14:solidFill>
          </w14:textFill>
        </w:rPr>
        <w:t>文化</w:t>
      </w:r>
      <w:r>
        <w:rPr>
          <w:rFonts w:hint="eastAsia" w:cs="宋体" w:asciiTheme="minorEastAsia" w:hAnsiTheme="minorEastAsia"/>
          <w:color w:val="000000" w:themeColor="text1"/>
          <w:kern w:val="0"/>
          <w:szCs w:val="21"/>
          <w14:textFill>
            <w14:solidFill>
              <w14:schemeClr w14:val="tx1"/>
            </w14:solidFill>
          </w14:textFill>
        </w:rPr>
        <w:t>产权交易</w:t>
      </w:r>
      <w:r>
        <w:rPr>
          <w:rFonts w:hint="eastAsia" w:cs="宋体" w:asciiTheme="minorEastAsia" w:hAnsiTheme="minorEastAsia"/>
          <w:color w:val="000000" w:themeColor="text1"/>
          <w:kern w:val="0"/>
          <w:szCs w:val="21"/>
          <w:lang w:eastAsia="zh-CN"/>
          <w14:textFill>
            <w14:solidFill>
              <w14:schemeClr w14:val="tx1"/>
            </w14:solidFill>
          </w14:textFill>
        </w:rPr>
        <w:t>所</w:t>
      </w:r>
    </w:p>
    <w:sectPr>
      <w:pgSz w:w="11906" w:h="16838"/>
      <w:pgMar w:top="567" w:right="907" w:bottom="567" w:left="907"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libri Light">
    <w:panose1 w:val="020F0302020204030204"/>
    <w:charset w:val="00"/>
    <w:family w:val="swiss"/>
    <w:pitch w:val="default"/>
    <w:sig w:usb0="A00002EF" w:usb1="4000207B" w:usb2="00000000" w:usb3="00000000" w:csb0="2000019F" w:csb1="00000000"/>
  </w:font>
  <w:font w:name="方正小标宋简体">
    <w:panose1 w:val="03000509000000000000"/>
    <w:charset w:val="86"/>
    <w:family w:val="auto"/>
    <w:pitch w:val="default"/>
    <w:sig w:usb0="00000001" w:usb1="080E0000" w:usb2="00000000" w:usb3="00000000" w:csb0="00040000" w:csb1="00000000"/>
  </w:font>
  <w:font w:name="楷体_GB2312">
    <w:panose1 w:val="02010609030101010101"/>
    <w:charset w:val="86"/>
    <w:family w:val="modern"/>
    <w:pitch w:val="default"/>
    <w:sig w:usb0="00000001" w:usb1="080E0000" w:usb2="00000000" w:usb3="00000000" w:csb0="00040000" w:csb1="00000000"/>
  </w:font>
  <w:font w:name="微软简标宋">
    <w:altName w:val="宋体"/>
    <w:panose1 w:val="00000000000000000000"/>
    <w:charset w:val="86"/>
    <w:family w:val="auto"/>
    <w:pitch w:val="default"/>
    <w:sig w:usb0="00000000" w:usb1="00000000" w:usb2="00000000" w:usb3="00000000" w:csb0="00000000" w:csb1="00000000"/>
  </w:font>
  <w:font w:name="仿宋_GB2312">
    <w:panose1 w:val="02010609030101010101"/>
    <w:charset w:val="86"/>
    <w:family w:val="modern"/>
    <w:pitch w:val="default"/>
    <w:sig w:usb0="00000001" w:usb1="080E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FD9B83D"/>
    <w:multiLevelType w:val="singleLevel"/>
    <w:tmpl w:val="5FD9B83D"/>
    <w:lvl w:ilvl="0" w:tentative="0">
      <w:start w:val="2"/>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jk1MzdlODI5ODFhZGY0ODM2NjBkODI5OGZiOWU4ODAifQ=="/>
  </w:docVars>
  <w:rsids>
    <w:rsidRoot w:val="00B85B4E"/>
    <w:rsid w:val="00005A05"/>
    <w:rsid w:val="00013C07"/>
    <w:rsid w:val="00015966"/>
    <w:rsid w:val="00016C06"/>
    <w:rsid w:val="00020CAD"/>
    <w:rsid w:val="00026039"/>
    <w:rsid w:val="000300BB"/>
    <w:rsid w:val="00041697"/>
    <w:rsid w:val="00041775"/>
    <w:rsid w:val="0004523C"/>
    <w:rsid w:val="000604D8"/>
    <w:rsid w:val="00074179"/>
    <w:rsid w:val="00095D29"/>
    <w:rsid w:val="000B4982"/>
    <w:rsid w:val="000D0633"/>
    <w:rsid w:val="000D4032"/>
    <w:rsid w:val="000E2F9E"/>
    <w:rsid w:val="00110B47"/>
    <w:rsid w:val="00114908"/>
    <w:rsid w:val="00115F50"/>
    <w:rsid w:val="001215A0"/>
    <w:rsid w:val="00121BE2"/>
    <w:rsid w:val="0016259F"/>
    <w:rsid w:val="001756FA"/>
    <w:rsid w:val="0017625F"/>
    <w:rsid w:val="00176403"/>
    <w:rsid w:val="00182813"/>
    <w:rsid w:val="00194494"/>
    <w:rsid w:val="001B0F08"/>
    <w:rsid w:val="001B5516"/>
    <w:rsid w:val="001D033B"/>
    <w:rsid w:val="001D3D7D"/>
    <w:rsid w:val="001E4BEB"/>
    <w:rsid w:val="0027141C"/>
    <w:rsid w:val="0028794E"/>
    <w:rsid w:val="002A023F"/>
    <w:rsid w:val="002B0230"/>
    <w:rsid w:val="002D2337"/>
    <w:rsid w:val="002D5495"/>
    <w:rsid w:val="003059F7"/>
    <w:rsid w:val="00305EC7"/>
    <w:rsid w:val="0036491B"/>
    <w:rsid w:val="00370062"/>
    <w:rsid w:val="003842F1"/>
    <w:rsid w:val="00391635"/>
    <w:rsid w:val="003966BB"/>
    <w:rsid w:val="003B5B83"/>
    <w:rsid w:val="003D6656"/>
    <w:rsid w:val="003F05D6"/>
    <w:rsid w:val="003F3116"/>
    <w:rsid w:val="0040147B"/>
    <w:rsid w:val="00410A44"/>
    <w:rsid w:val="0041701F"/>
    <w:rsid w:val="004240D3"/>
    <w:rsid w:val="0044645D"/>
    <w:rsid w:val="0044779F"/>
    <w:rsid w:val="00471F89"/>
    <w:rsid w:val="00475266"/>
    <w:rsid w:val="00484455"/>
    <w:rsid w:val="004A6E27"/>
    <w:rsid w:val="004C7B21"/>
    <w:rsid w:val="005013E3"/>
    <w:rsid w:val="005112A2"/>
    <w:rsid w:val="00513AB8"/>
    <w:rsid w:val="00527DEF"/>
    <w:rsid w:val="0054711A"/>
    <w:rsid w:val="0055692C"/>
    <w:rsid w:val="005721DF"/>
    <w:rsid w:val="00583455"/>
    <w:rsid w:val="005A333D"/>
    <w:rsid w:val="005C62C3"/>
    <w:rsid w:val="005E779E"/>
    <w:rsid w:val="005F7A1A"/>
    <w:rsid w:val="00610222"/>
    <w:rsid w:val="006225CF"/>
    <w:rsid w:val="00634D05"/>
    <w:rsid w:val="006639F7"/>
    <w:rsid w:val="00690BC1"/>
    <w:rsid w:val="006911ED"/>
    <w:rsid w:val="006C5DBC"/>
    <w:rsid w:val="006E678A"/>
    <w:rsid w:val="006F34B6"/>
    <w:rsid w:val="00700ABA"/>
    <w:rsid w:val="0072322D"/>
    <w:rsid w:val="00725B8B"/>
    <w:rsid w:val="007408E2"/>
    <w:rsid w:val="007578A3"/>
    <w:rsid w:val="00776D6B"/>
    <w:rsid w:val="00792C7B"/>
    <w:rsid w:val="007930FE"/>
    <w:rsid w:val="007A203D"/>
    <w:rsid w:val="007A33D8"/>
    <w:rsid w:val="007A4120"/>
    <w:rsid w:val="007D3A15"/>
    <w:rsid w:val="007E711F"/>
    <w:rsid w:val="007E7E5D"/>
    <w:rsid w:val="00803AA1"/>
    <w:rsid w:val="008166AD"/>
    <w:rsid w:val="0083520E"/>
    <w:rsid w:val="00851372"/>
    <w:rsid w:val="008645A1"/>
    <w:rsid w:val="00867DCD"/>
    <w:rsid w:val="008B3B35"/>
    <w:rsid w:val="008C3CAE"/>
    <w:rsid w:val="008C5015"/>
    <w:rsid w:val="008C5926"/>
    <w:rsid w:val="008D680D"/>
    <w:rsid w:val="009124BD"/>
    <w:rsid w:val="00920DC3"/>
    <w:rsid w:val="00920E3A"/>
    <w:rsid w:val="00921E09"/>
    <w:rsid w:val="00922C2B"/>
    <w:rsid w:val="0093044A"/>
    <w:rsid w:val="00940797"/>
    <w:rsid w:val="009732F2"/>
    <w:rsid w:val="00993BDD"/>
    <w:rsid w:val="00997685"/>
    <w:rsid w:val="009B2248"/>
    <w:rsid w:val="009E0761"/>
    <w:rsid w:val="009F2874"/>
    <w:rsid w:val="00A02995"/>
    <w:rsid w:val="00A10BF8"/>
    <w:rsid w:val="00A2240B"/>
    <w:rsid w:val="00A22B98"/>
    <w:rsid w:val="00A33695"/>
    <w:rsid w:val="00A7225B"/>
    <w:rsid w:val="00A84DFF"/>
    <w:rsid w:val="00A96264"/>
    <w:rsid w:val="00AB42A1"/>
    <w:rsid w:val="00AC6A5D"/>
    <w:rsid w:val="00AD3F9C"/>
    <w:rsid w:val="00AF5C4C"/>
    <w:rsid w:val="00AF74EA"/>
    <w:rsid w:val="00B01996"/>
    <w:rsid w:val="00B02B2B"/>
    <w:rsid w:val="00B23276"/>
    <w:rsid w:val="00B6581E"/>
    <w:rsid w:val="00B740B8"/>
    <w:rsid w:val="00B80E2F"/>
    <w:rsid w:val="00B83F9E"/>
    <w:rsid w:val="00B844A6"/>
    <w:rsid w:val="00B85259"/>
    <w:rsid w:val="00B85B4E"/>
    <w:rsid w:val="00B933FC"/>
    <w:rsid w:val="00BA0742"/>
    <w:rsid w:val="00BF28E4"/>
    <w:rsid w:val="00C079AC"/>
    <w:rsid w:val="00C348F4"/>
    <w:rsid w:val="00C56F7C"/>
    <w:rsid w:val="00C63CF8"/>
    <w:rsid w:val="00C75C5B"/>
    <w:rsid w:val="00C91190"/>
    <w:rsid w:val="00CB30E3"/>
    <w:rsid w:val="00D12B7F"/>
    <w:rsid w:val="00D36187"/>
    <w:rsid w:val="00D43C3B"/>
    <w:rsid w:val="00D46139"/>
    <w:rsid w:val="00D60FBA"/>
    <w:rsid w:val="00D619D3"/>
    <w:rsid w:val="00D75272"/>
    <w:rsid w:val="00D778CC"/>
    <w:rsid w:val="00D9050F"/>
    <w:rsid w:val="00DF5C19"/>
    <w:rsid w:val="00DF7EE6"/>
    <w:rsid w:val="00E00FB3"/>
    <w:rsid w:val="00E31C42"/>
    <w:rsid w:val="00E32014"/>
    <w:rsid w:val="00E32C2C"/>
    <w:rsid w:val="00E32C83"/>
    <w:rsid w:val="00E375F9"/>
    <w:rsid w:val="00E825BA"/>
    <w:rsid w:val="00EA23CF"/>
    <w:rsid w:val="00EB781B"/>
    <w:rsid w:val="00EB78A1"/>
    <w:rsid w:val="00ED574A"/>
    <w:rsid w:val="00F13870"/>
    <w:rsid w:val="00F14677"/>
    <w:rsid w:val="00F534BD"/>
    <w:rsid w:val="00F75BBB"/>
    <w:rsid w:val="00F94030"/>
    <w:rsid w:val="00FA4DF3"/>
    <w:rsid w:val="00FA7D17"/>
    <w:rsid w:val="00FC6795"/>
    <w:rsid w:val="00FE20B5"/>
    <w:rsid w:val="010B13E2"/>
    <w:rsid w:val="01B3536E"/>
    <w:rsid w:val="02257257"/>
    <w:rsid w:val="02711452"/>
    <w:rsid w:val="02745A11"/>
    <w:rsid w:val="02C651BC"/>
    <w:rsid w:val="03EB145E"/>
    <w:rsid w:val="04051FB4"/>
    <w:rsid w:val="040D19BA"/>
    <w:rsid w:val="044348A7"/>
    <w:rsid w:val="05792EE8"/>
    <w:rsid w:val="05877B50"/>
    <w:rsid w:val="05D05430"/>
    <w:rsid w:val="067B13E3"/>
    <w:rsid w:val="06C27A81"/>
    <w:rsid w:val="06CC13D6"/>
    <w:rsid w:val="0742282F"/>
    <w:rsid w:val="076714BF"/>
    <w:rsid w:val="0782123D"/>
    <w:rsid w:val="08F70B60"/>
    <w:rsid w:val="095F29F7"/>
    <w:rsid w:val="09645CB2"/>
    <w:rsid w:val="09C40145"/>
    <w:rsid w:val="09D540FD"/>
    <w:rsid w:val="0A000462"/>
    <w:rsid w:val="0A570AD3"/>
    <w:rsid w:val="0AEB289D"/>
    <w:rsid w:val="0B3140BD"/>
    <w:rsid w:val="0B420C2C"/>
    <w:rsid w:val="0BAF7725"/>
    <w:rsid w:val="0C304641"/>
    <w:rsid w:val="0C5908AB"/>
    <w:rsid w:val="0C7A636B"/>
    <w:rsid w:val="0D056818"/>
    <w:rsid w:val="0D623F48"/>
    <w:rsid w:val="0D8E38DF"/>
    <w:rsid w:val="0E4F522C"/>
    <w:rsid w:val="0EFE21CE"/>
    <w:rsid w:val="0F0324FD"/>
    <w:rsid w:val="0F6E6DB2"/>
    <w:rsid w:val="10A311C2"/>
    <w:rsid w:val="10D807B4"/>
    <w:rsid w:val="11291566"/>
    <w:rsid w:val="11796E25"/>
    <w:rsid w:val="118E78DA"/>
    <w:rsid w:val="1312498F"/>
    <w:rsid w:val="13691D92"/>
    <w:rsid w:val="137F5A7D"/>
    <w:rsid w:val="13945D3E"/>
    <w:rsid w:val="1400634D"/>
    <w:rsid w:val="14BE57E6"/>
    <w:rsid w:val="15E677BA"/>
    <w:rsid w:val="15F43AB0"/>
    <w:rsid w:val="15FC541F"/>
    <w:rsid w:val="16235DF0"/>
    <w:rsid w:val="16841444"/>
    <w:rsid w:val="16C22579"/>
    <w:rsid w:val="16CF1A82"/>
    <w:rsid w:val="16FD1EB0"/>
    <w:rsid w:val="17773DA4"/>
    <w:rsid w:val="17EB4C6A"/>
    <w:rsid w:val="1818175D"/>
    <w:rsid w:val="184F3E4A"/>
    <w:rsid w:val="18ED149F"/>
    <w:rsid w:val="194B1E3E"/>
    <w:rsid w:val="19FA4DA7"/>
    <w:rsid w:val="1A1D7EF8"/>
    <w:rsid w:val="1A1E74EA"/>
    <w:rsid w:val="1AFE00D1"/>
    <w:rsid w:val="1B3E3685"/>
    <w:rsid w:val="1B592166"/>
    <w:rsid w:val="1C647AF7"/>
    <w:rsid w:val="1D6F6AEC"/>
    <w:rsid w:val="1DE469CE"/>
    <w:rsid w:val="1EB9227B"/>
    <w:rsid w:val="1EF5204C"/>
    <w:rsid w:val="1F0B66BA"/>
    <w:rsid w:val="1F143ACF"/>
    <w:rsid w:val="1F2D3BA0"/>
    <w:rsid w:val="1F315742"/>
    <w:rsid w:val="1F3939BA"/>
    <w:rsid w:val="1FD24CF7"/>
    <w:rsid w:val="20C47107"/>
    <w:rsid w:val="213D13DB"/>
    <w:rsid w:val="21797EA7"/>
    <w:rsid w:val="21AC4AE4"/>
    <w:rsid w:val="22B65B7C"/>
    <w:rsid w:val="23400DBC"/>
    <w:rsid w:val="237F4498"/>
    <w:rsid w:val="23902606"/>
    <w:rsid w:val="242A51A9"/>
    <w:rsid w:val="25107DC7"/>
    <w:rsid w:val="260278BE"/>
    <w:rsid w:val="267F4C1E"/>
    <w:rsid w:val="26AA5D19"/>
    <w:rsid w:val="26D057DE"/>
    <w:rsid w:val="26D21B61"/>
    <w:rsid w:val="26DE465B"/>
    <w:rsid w:val="27C25DA1"/>
    <w:rsid w:val="27CA6751"/>
    <w:rsid w:val="283413F6"/>
    <w:rsid w:val="287244D6"/>
    <w:rsid w:val="28987AE2"/>
    <w:rsid w:val="29DB5EF8"/>
    <w:rsid w:val="29F3439E"/>
    <w:rsid w:val="2A4C0694"/>
    <w:rsid w:val="2A6C7E20"/>
    <w:rsid w:val="2AB92391"/>
    <w:rsid w:val="2AEE58A7"/>
    <w:rsid w:val="2B023E9B"/>
    <w:rsid w:val="2B740B12"/>
    <w:rsid w:val="2B84674D"/>
    <w:rsid w:val="2C7E78F3"/>
    <w:rsid w:val="2CED77BD"/>
    <w:rsid w:val="2D7B0679"/>
    <w:rsid w:val="2D9954E4"/>
    <w:rsid w:val="2DBE17CE"/>
    <w:rsid w:val="2E9659C5"/>
    <w:rsid w:val="2EBC69C8"/>
    <w:rsid w:val="2ECA38D3"/>
    <w:rsid w:val="2ED30D90"/>
    <w:rsid w:val="2FE30AFB"/>
    <w:rsid w:val="302E74F3"/>
    <w:rsid w:val="303F3402"/>
    <w:rsid w:val="304B1479"/>
    <w:rsid w:val="31B11ECD"/>
    <w:rsid w:val="31D70B80"/>
    <w:rsid w:val="3310671C"/>
    <w:rsid w:val="34372013"/>
    <w:rsid w:val="344A36F6"/>
    <w:rsid w:val="351230AF"/>
    <w:rsid w:val="366473DC"/>
    <w:rsid w:val="369F29E6"/>
    <w:rsid w:val="36AA4594"/>
    <w:rsid w:val="371C79C9"/>
    <w:rsid w:val="3743352B"/>
    <w:rsid w:val="377E6105"/>
    <w:rsid w:val="37D777C2"/>
    <w:rsid w:val="37ED3D50"/>
    <w:rsid w:val="38102CEA"/>
    <w:rsid w:val="38235FC2"/>
    <w:rsid w:val="384F7AE4"/>
    <w:rsid w:val="385516AE"/>
    <w:rsid w:val="38BD5B70"/>
    <w:rsid w:val="390A4257"/>
    <w:rsid w:val="393E086E"/>
    <w:rsid w:val="39916E08"/>
    <w:rsid w:val="39B2245B"/>
    <w:rsid w:val="3A6D42A2"/>
    <w:rsid w:val="3B917FD2"/>
    <w:rsid w:val="3BCC52AB"/>
    <w:rsid w:val="3C7716DE"/>
    <w:rsid w:val="3D6D1798"/>
    <w:rsid w:val="3D6E5676"/>
    <w:rsid w:val="3E5115A3"/>
    <w:rsid w:val="3F67062E"/>
    <w:rsid w:val="3FB30B71"/>
    <w:rsid w:val="403064BA"/>
    <w:rsid w:val="405A2697"/>
    <w:rsid w:val="406A3BD1"/>
    <w:rsid w:val="40ED4904"/>
    <w:rsid w:val="41A270DA"/>
    <w:rsid w:val="42893EA9"/>
    <w:rsid w:val="43092DD2"/>
    <w:rsid w:val="434E4004"/>
    <w:rsid w:val="439C0A14"/>
    <w:rsid w:val="440B22E6"/>
    <w:rsid w:val="4438405B"/>
    <w:rsid w:val="4496796B"/>
    <w:rsid w:val="454F7389"/>
    <w:rsid w:val="457523D1"/>
    <w:rsid w:val="459B3121"/>
    <w:rsid w:val="463601CE"/>
    <w:rsid w:val="468219B4"/>
    <w:rsid w:val="48257046"/>
    <w:rsid w:val="48327DBE"/>
    <w:rsid w:val="48674205"/>
    <w:rsid w:val="48D05C0D"/>
    <w:rsid w:val="48E13234"/>
    <w:rsid w:val="48F5033B"/>
    <w:rsid w:val="49184783"/>
    <w:rsid w:val="497C7D1F"/>
    <w:rsid w:val="4A9040B5"/>
    <w:rsid w:val="4A924048"/>
    <w:rsid w:val="4A950457"/>
    <w:rsid w:val="4A994037"/>
    <w:rsid w:val="4B0F7666"/>
    <w:rsid w:val="4B5678A6"/>
    <w:rsid w:val="4BCD67A2"/>
    <w:rsid w:val="4C551B83"/>
    <w:rsid w:val="4C5666A4"/>
    <w:rsid w:val="4CCA04A9"/>
    <w:rsid w:val="4D114523"/>
    <w:rsid w:val="4DA43E95"/>
    <w:rsid w:val="4DAA16B8"/>
    <w:rsid w:val="4EA83D84"/>
    <w:rsid w:val="4ED245FE"/>
    <w:rsid w:val="4F97458E"/>
    <w:rsid w:val="4FA431D2"/>
    <w:rsid w:val="4FD12F37"/>
    <w:rsid w:val="50624271"/>
    <w:rsid w:val="50941C68"/>
    <w:rsid w:val="50BE418D"/>
    <w:rsid w:val="50E22F2A"/>
    <w:rsid w:val="50F33997"/>
    <w:rsid w:val="51786D26"/>
    <w:rsid w:val="521B364B"/>
    <w:rsid w:val="522808FB"/>
    <w:rsid w:val="52433EE9"/>
    <w:rsid w:val="53D91F09"/>
    <w:rsid w:val="54AE5570"/>
    <w:rsid w:val="55AF6618"/>
    <w:rsid w:val="55FE698A"/>
    <w:rsid w:val="56293C52"/>
    <w:rsid w:val="567D17D4"/>
    <w:rsid w:val="567E3907"/>
    <w:rsid w:val="57395165"/>
    <w:rsid w:val="57B009C3"/>
    <w:rsid w:val="57B6506B"/>
    <w:rsid w:val="57BC41CC"/>
    <w:rsid w:val="583321AA"/>
    <w:rsid w:val="583A04F5"/>
    <w:rsid w:val="586F544A"/>
    <w:rsid w:val="58D70F96"/>
    <w:rsid w:val="59F355D4"/>
    <w:rsid w:val="5AF5168F"/>
    <w:rsid w:val="5AFA190E"/>
    <w:rsid w:val="5B582547"/>
    <w:rsid w:val="5B883A12"/>
    <w:rsid w:val="5C500E37"/>
    <w:rsid w:val="5D4A7EF5"/>
    <w:rsid w:val="5D7D1C58"/>
    <w:rsid w:val="5E3162F1"/>
    <w:rsid w:val="5E9F15E6"/>
    <w:rsid w:val="5ED640DF"/>
    <w:rsid w:val="5F0D5E8E"/>
    <w:rsid w:val="5FC61345"/>
    <w:rsid w:val="5FD736C8"/>
    <w:rsid w:val="61110F6F"/>
    <w:rsid w:val="61444D78"/>
    <w:rsid w:val="61845788"/>
    <w:rsid w:val="624170C2"/>
    <w:rsid w:val="62644D84"/>
    <w:rsid w:val="62960883"/>
    <w:rsid w:val="63F973FE"/>
    <w:rsid w:val="64D94A04"/>
    <w:rsid w:val="6506727A"/>
    <w:rsid w:val="66086645"/>
    <w:rsid w:val="670A35CA"/>
    <w:rsid w:val="6820192A"/>
    <w:rsid w:val="68A845DE"/>
    <w:rsid w:val="68C30D1F"/>
    <w:rsid w:val="691777D3"/>
    <w:rsid w:val="696F77A1"/>
    <w:rsid w:val="6971294B"/>
    <w:rsid w:val="69D40489"/>
    <w:rsid w:val="6A0B45FD"/>
    <w:rsid w:val="6ACD1060"/>
    <w:rsid w:val="6B4D207C"/>
    <w:rsid w:val="6B8D2FC3"/>
    <w:rsid w:val="6BFD0C52"/>
    <w:rsid w:val="6C146071"/>
    <w:rsid w:val="6C2B3BE0"/>
    <w:rsid w:val="6C6C7888"/>
    <w:rsid w:val="6D143732"/>
    <w:rsid w:val="6D6000D6"/>
    <w:rsid w:val="6D62036E"/>
    <w:rsid w:val="6E207587"/>
    <w:rsid w:val="6E2B4108"/>
    <w:rsid w:val="6E840746"/>
    <w:rsid w:val="70512315"/>
    <w:rsid w:val="71776AE5"/>
    <w:rsid w:val="71B400D1"/>
    <w:rsid w:val="71C56F21"/>
    <w:rsid w:val="72195302"/>
    <w:rsid w:val="721A6048"/>
    <w:rsid w:val="737B5A5E"/>
    <w:rsid w:val="73AB05EF"/>
    <w:rsid w:val="74726E27"/>
    <w:rsid w:val="75017891"/>
    <w:rsid w:val="75661364"/>
    <w:rsid w:val="7592639D"/>
    <w:rsid w:val="76923516"/>
    <w:rsid w:val="77B0442F"/>
    <w:rsid w:val="7875642B"/>
    <w:rsid w:val="7B232293"/>
    <w:rsid w:val="7B392CC9"/>
    <w:rsid w:val="7E016C0A"/>
    <w:rsid w:val="7E061F9D"/>
    <w:rsid w:val="7EB76435"/>
    <w:rsid w:val="7EE37EFD"/>
    <w:rsid w:val="7EE840E1"/>
    <w:rsid w:val="7EF8234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name="heading 2"/>
    <w:lsdException w:qFormat="1" w:uiPriority="9" w:name="heading 3"/>
    <w:lsdException w:qFormat="1" w:uiPriority="9"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14"/>
    <w:autoRedefine/>
    <w:qFormat/>
    <w:uiPriority w:val="0"/>
    <w:pPr>
      <w:keepNext/>
      <w:keepLines/>
      <w:spacing w:after="120"/>
      <w:outlineLvl w:val="0"/>
    </w:pPr>
    <w:rPr>
      <w:rFonts w:eastAsia="黑体"/>
      <w:b/>
      <w:bCs/>
      <w:kern w:val="44"/>
      <w:szCs w:val="44"/>
    </w:rPr>
  </w:style>
  <w:style w:type="paragraph" w:styleId="3">
    <w:name w:val="heading 4"/>
    <w:basedOn w:val="1"/>
    <w:next w:val="1"/>
    <w:autoRedefine/>
    <w:unhideWhenUsed/>
    <w:qFormat/>
    <w:uiPriority w:val="9"/>
    <w:pPr>
      <w:spacing w:beforeAutospacing="1" w:afterAutospacing="1"/>
      <w:jc w:val="left"/>
      <w:outlineLvl w:val="3"/>
    </w:pPr>
    <w:rPr>
      <w:rFonts w:hint="eastAsia" w:ascii="宋体" w:hAnsi="宋体" w:eastAsia="宋体" w:cs="Times New Roman"/>
      <w:b/>
      <w:kern w:val="0"/>
      <w:sz w:val="24"/>
      <w:szCs w:val="24"/>
    </w:rPr>
  </w:style>
  <w:style w:type="character" w:default="1" w:styleId="11">
    <w:name w:val="Default Paragraph Font"/>
    <w:autoRedefine/>
    <w:unhideWhenUsed/>
    <w:qFormat/>
    <w:uiPriority w:val="1"/>
  </w:style>
  <w:style w:type="table" w:default="1" w:styleId="10">
    <w:name w:val="Normal Table"/>
    <w:autoRedefine/>
    <w:unhideWhenUsed/>
    <w:qFormat/>
    <w:uiPriority w:val="99"/>
    <w:tblPr>
      <w:tblCellMar>
        <w:top w:w="0" w:type="dxa"/>
        <w:left w:w="108" w:type="dxa"/>
        <w:bottom w:w="0" w:type="dxa"/>
        <w:right w:w="108" w:type="dxa"/>
      </w:tblCellMar>
    </w:tblPr>
  </w:style>
  <w:style w:type="paragraph" w:styleId="4">
    <w:name w:val="annotation text"/>
    <w:basedOn w:val="1"/>
    <w:link w:val="19"/>
    <w:autoRedefine/>
    <w:unhideWhenUsed/>
    <w:qFormat/>
    <w:uiPriority w:val="99"/>
    <w:pPr>
      <w:jc w:val="left"/>
    </w:pPr>
  </w:style>
  <w:style w:type="paragraph" w:styleId="5">
    <w:name w:val="Balloon Text"/>
    <w:basedOn w:val="1"/>
    <w:link w:val="21"/>
    <w:autoRedefine/>
    <w:unhideWhenUsed/>
    <w:qFormat/>
    <w:uiPriority w:val="99"/>
    <w:rPr>
      <w:sz w:val="18"/>
      <w:szCs w:val="18"/>
    </w:rPr>
  </w:style>
  <w:style w:type="paragraph" w:styleId="6">
    <w:name w:val="footer"/>
    <w:basedOn w:val="1"/>
    <w:link w:val="18"/>
    <w:autoRedefine/>
    <w:unhideWhenUsed/>
    <w:qFormat/>
    <w:uiPriority w:val="99"/>
    <w:pPr>
      <w:tabs>
        <w:tab w:val="center" w:pos="4153"/>
        <w:tab w:val="right" w:pos="8306"/>
      </w:tabs>
      <w:snapToGrid w:val="0"/>
      <w:jc w:val="left"/>
    </w:pPr>
    <w:rPr>
      <w:sz w:val="18"/>
      <w:szCs w:val="18"/>
    </w:rPr>
  </w:style>
  <w:style w:type="paragraph" w:styleId="7">
    <w:name w:val="header"/>
    <w:basedOn w:val="1"/>
    <w:link w:val="17"/>
    <w:autoRedefine/>
    <w:unhideWhenUsed/>
    <w:qFormat/>
    <w:uiPriority w:val="99"/>
    <w:pPr>
      <w:pBdr>
        <w:bottom w:val="single" w:color="auto" w:sz="6" w:space="1"/>
      </w:pBdr>
      <w:tabs>
        <w:tab w:val="center" w:pos="4153"/>
        <w:tab w:val="right" w:pos="8306"/>
      </w:tabs>
      <w:snapToGrid w:val="0"/>
      <w:jc w:val="center"/>
    </w:pPr>
    <w:rPr>
      <w:sz w:val="18"/>
      <w:szCs w:val="18"/>
    </w:rPr>
  </w:style>
  <w:style w:type="paragraph" w:styleId="8">
    <w:name w:val="Title"/>
    <w:basedOn w:val="2"/>
    <w:next w:val="1"/>
    <w:link w:val="16"/>
    <w:autoRedefine/>
    <w:qFormat/>
    <w:uiPriority w:val="0"/>
    <w:pPr>
      <w:spacing w:beforeLines="100" w:line="360" w:lineRule="auto"/>
      <w:jc w:val="center"/>
    </w:pPr>
    <w:rPr>
      <w:rFonts w:eastAsia="方正小标宋简体" w:asciiTheme="majorHAnsi" w:hAnsiTheme="majorHAnsi" w:cstheme="majorBidi"/>
      <w:b w:val="0"/>
      <w:bCs w:val="0"/>
      <w:sz w:val="44"/>
      <w:szCs w:val="32"/>
    </w:rPr>
  </w:style>
  <w:style w:type="paragraph" w:styleId="9">
    <w:name w:val="annotation subject"/>
    <w:basedOn w:val="4"/>
    <w:next w:val="4"/>
    <w:link w:val="20"/>
    <w:autoRedefine/>
    <w:unhideWhenUsed/>
    <w:qFormat/>
    <w:uiPriority w:val="99"/>
    <w:rPr>
      <w:b/>
      <w:bCs/>
    </w:rPr>
  </w:style>
  <w:style w:type="character" w:styleId="12">
    <w:name w:val="Hyperlink"/>
    <w:basedOn w:val="11"/>
    <w:autoRedefine/>
    <w:unhideWhenUsed/>
    <w:qFormat/>
    <w:uiPriority w:val="99"/>
    <w:rPr>
      <w:color w:val="0563C1" w:themeColor="hyperlink"/>
      <w:u w:val="single"/>
      <w14:textFill>
        <w14:solidFill>
          <w14:schemeClr w14:val="hlink"/>
        </w14:solidFill>
      </w14:textFill>
    </w:rPr>
  </w:style>
  <w:style w:type="character" w:styleId="13">
    <w:name w:val="annotation reference"/>
    <w:basedOn w:val="11"/>
    <w:autoRedefine/>
    <w:unhideWhenUsed/>
    <w:qFormat/>
    <w:uiPriority w:val="99"/>
    <w:rPr>
      <w:sz w:val="21"/>
      <w:szCs w:val="21"/>
    </w:rPr>
  </w:style>
  <w:style w:type="character" w:customStyle="1" w:styleId="14">
    <w:name w:val="标题 1 Char"/>
    <w:basedOn w:val="11"/>
    <w:link w:val="2"/>
    <w:autoRedefine/>
    <w:qFormat/>
    <w:uiPriority w:val="0"/>
    <w:rPr>
      <w:rFonts w:eastAsia="黑体"/>
      <w:b/>
      <w:bCs/>
      <w:kern w:val="44"/>
      <w:sz w:val="32"/>
      <w:szCs w:val="44"/>
    </w:rPr>
  </w:style>
  <w:style w:type="paragraph" w:customStyle="1" w:styleId="15">
    <w:name w:val="小小标题"/>
    <w:basedOn w:val="2"/>
    <w:autoRedefine/>
    <w:qFormat/>
    <w:uiPriority w:val="0"/>
    <w:pPr>
      <w:ind w:firstLine="640"/>
    </w:pPr>
    <w:rPr>
      <w:rFonts w:ascii="Times New Roman" w:hAnsi="Times New Roman" w:eastAsia="楷体_GB2312" w:cs="Times New Roman"/>
    </w:rPr>
  </w:style>
  <w:style w:type="character" w:customStyle="1" w:styleId="16">
    <w:name w:val="标题 Char"/>
    <w:basedOn w:val="11"/>
    <w:link w:val="8"/>
    <w:autoRedefine/>
    <w:qFormat/>
    <w:uiPriority w:val="0"/>
    <w:rPr>
      <w:rFonts w:eastAsia="方正小标宋简体" w:asciiTheme="majorHAnsi" w:hAnsiTheme="majorHAnsi" w:cstheme="majorBidi"/>
      <w:kern w:val="44"/>
      <w:sz w:val="44"/>
      <w:szCs w:val="32"/>
    </w:rPr>
  </w:style>
  <w:style w:type="character" w:customStyle="1" w:styleId="17">
    <w:name w:val="页眉 Char"/>
    <w:basedOn w:val="11"/>
    <w:link w:val="7"/>
    <w:autoRedefine/>
    <w:qFormat/>
    <w:uiPriority w:val="99"/>
    <w:rPr>
      <w:sz w:val="18"/>
      <w:szCs w:val="18"/>
    </w:rPr>
  </w:style>
  <w:style w:type="character" w:customStyle="1" w:styleId="18">
    <w:name w:val="页脚 Char"/>
    <w:basedOn w:val="11"/>
    <w:link w:val="6"/>
    <w:autoRedefine/>
    <w:qFormat/>
    <w:uiPriority w:val="99"/>
    <w:rPr>
      <w:sz w:val="18"/>
      <w:szCs w:val="18"/>
    </w:rPr>
  </w:style>
  <w:style w:type="character" w:customStyle="1" w:styleId="19">
    <w:name w:val="批注文字 Char"/>
    <w:basedOn w:val="11"/>
    <w:link w:val="4"/>
    <w:autoRedefine/>
    <w:semiHidden/>
    <w:qFormat/>
    <w:uiPriority w:val="99"/>
  </w:style>
  <w:style w:type="character" w:customStyle="1" w:styleId="20">
    <w:name w:val="批注主题 Char"/>
    <w:basedOn w:val="19"/>
    <w:link w:val="9"/>
    <w:autoRedefine/>
    <w:semiHidden/>
    <w:qFormat/>
    <w:uiPriority w:val="99"/>
    <w:rPr>
      <w:b/>
      <w:bCs/>
    </w:rPr>
  </w:style>
  <w:style w:type="character" w:customStyle="1" w:styleId="21">
    <w:name w:val="批注框文本 Char"/>
    <w:basedOn w:val="11"/>
    <w:link w:val="5"/>
    <w:autoRedefine/>
    <w:semiHidden/>
    <w:qFormat/>
    <w:uiPriority w:val="99"/>
    <w:rPr>
      <w:sz w:val="18"/>
      <w:szCs w:val="18"/>
    </w:rPr>
  </w:style>
  <w:style w:type="paragraph" w:customStyle="1" w:styleId="22">
    <w:name w:val="List Paragraph"/>
    <w:basedOn w:val="1"/>
    <w:autoRedefine/>
    <w:qFormat/>
    <w:uiPriority w:val="34"/>
    <w:pPr>
      <w:ind w:firstLine="420" w:firstLineChars="200"/>
    </w:p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CD54BF-65CA-4BB0-878E-40284556B134}">
  <ds:schemaRefs/>
</ds:datastoreItem>
</file>

<file path=docProps/app.xml><?xml version="1.0" encoding="utf-8"?>
<Properties xmlns="http://schemas.openxmlformats.org/officeDocument/2006/extended-properties" xmlns:vt="http://schemas.openxmlformats.org/officeDocument/2006/docPropsVTypes">
  <Template>Normal.dotm</Template>
  <Pages>5</Pages>
  <Words>5785</Words>
  <Characters>5942</Characters>
  <Lines>49</Lines>
  <Paragraphs>14</Paragraphs>
  <TotalTime>0</TotalTime>
  <ScaleCrop>false</ScaleCrop>
  <LinksUpToDate>false</LinksUpToDate>
  <CharactersWithSpaces>6241</CharactersWithSpaces>
  <Application>WPS Office_12.1.0.21541_F1E327BC-269C-435d-A152-05C5408002CA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2019-08-01T08:29:00Z</dcterms:created>
  <dc:creator>wangzl</dc:creator>
  <cp:lastModifiedBy>天才WS</cp:lastModifiedBy>
  <cp:lastPrinted>2024-08-12T01:07:00Z</cp:lastPrinted>
  <dcterms:modified xsi:type="dcterms:W3CDTF">2025-06-23T03:15:24Z</dcterms:modified>
  <cp:revision>16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2052-12.1.0.21541</vt:lpwstr>
  </property>
  <property fmtid="{D5CDD505-2E9C-101B-9397-08002B2CF9AE}" pid="3" name="ICV">
    <vt:lpwstr>00B974971A1A44F585D4F6E1285A42CA_13</vt:lpwstr>
  </property>
  <property fmtid="{D5CDD505-2E9C-101B-9397-08002B2CF9AE}" pid="4" name="KSOTemplateDocerSaveRecord">
    <vt:lpwstr>eyJoZGlkIjoiMTAwOTE5MmI1YzU2NjY1OWZlZDgzMjM1M2M5ZGYzZWYiLCJ1c2VySWQiOiI0NTE0MjkyMTcifQ==</vt:lpwstr>
  </property>
</Properties>
</file>