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拍 卖 规 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rPr>
      </w:pPr>
      <w:r>
        <w:rPr>
          <w:rFonts w:hint="eastAsia" w:ascii="宋体" w:hAnsi="宋体" w:eastAsia="宋体" w:cs="宋体"/>
          <w:color w:val="auto"/>
          <w:spacing w:val="0"/>
          <w:sz w:val="24"/>
          <w:szCs w:val="24"/>
        </w:rPr>
        <w:t>一、本规则依据《中华人民共和国拍卖法》《中华人民共和国民法典》等相关法律法规和“公开、</w:t>
      </w:r>
      <w:r>
        <w:rPr>
          <w:rFonts w:hint="eastAsia" w:ascii="宋体" w:hAnsi="宋体" w:eastAsia="宋体" w:cs="宋体"/>
          <w:color w:val="auto"/>
          <w:spacing w:val="0"/>
          <w:sz w:val="24"/>
          <w:szCs w:val="24"/>
          <w:u w:val="none"/>
        </w:rPr>
        <w:t>公平、公正、诚实信用”原则及价高者得规则制定。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rPr>
        <w:t>二、拍卖标的</w:t>
      </w:r>
      <w:r>
        <w:rPr>
          <w:rFonts w:hint="eastAsia" w:ascii="宋体" w:hAnsi="宋体" w:cs="宋体"/>
          <w:color w:val="auto"/>
          <w:spacing w:val="0"/>
          <w:sz w:val="24"/>
          <w:szCs w:val="24"/>
          <w:u w:val="none"/>
          <w:lang w:val="en-US" w:eastAsia="zh-CN"/>
        </w:rPr>
        <w:t>简介</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u w:val="none"/>
          <w:lang w:val="en-US" w:eastAsia="zh-CN"/>
        </w:rPr>
      </w:pPr>
      <w:r>
        <w:rPr>
          <w:rFonts w:hint="eastAsia" w:ascii="宋体" w:hAnsi="宋体" w:eastAsia="宋体" w:cs="宋体"/>
          <w:color w:val="auto"/>
          <w:spacing w:val="0"/>
          <w:sz w:val="24"/>
          <w:szCs w:val="24"/>
          <w:u w:val="none"/>
          <w:lang w:val="en-US" w:eastAsia="zh-CN"/>
        </w:rPr>
        <w:t>德州市陵城区住房和城乡建设局报废物资一宗拍卖项目。本次项目</w:t>
      </w:r>
      <w:r>
        <w:rPr>
          <w:rFonts w:hint="eastAsia" w:ascii="宋体" w:hAnsi="宋体" w:cs="宋体"/>
          <w:color w:val="auto"/>
          <w:spacing w:val="0"/>
          <w:sz w:val="24"/>
          <w:szCs w:val="24"/>
          <w:u w:val="none"/>
          <w:lang w:val="en-US" w:eastAsia="zh-CN"/>
        </w:rPr>
        <w:t>整体</w:t>
      </w:r>
      <w:r>
        <w:rPr>
          <w:rFonts w:hint="eastAsia" w:ascii="宋体" w:hAnsi="宋体" w:eastAsia="宋体" w:cs="宋体"/>
          <w:color w:val="auto"/>
          <w:spacing w:val="0"/>
          <w:sz w:val="24"/>
          <w:szCs w:val="24"/>
          <w:u w:val="none"/>
          <w:lang w:val="en-US" w:eastAsia="zh-CN"/>
        </w:rPr>
        <w:t>拍卖</w:t>
      </w:r>
      <w:r>
        <w:rPr>
          <w:rFonts w:hint="eastAsia" w:ascii="宋体" w:hAnsi="宋体" w:cs="宋体"/>
          <w:color w:val="auto"/>
          <w:spacing w:val="0"/>
          <w:sz w:val="24"/>
          <w:szCs w:val="24"/>
          <w:u w:val="none"/>
          <w:lang w:val="en-US" w:eastAsia="zh-CN"/>
        </w:rPr>
        <w:t>，详见公告附件评估明细表。</w:t>
      </w:r>
      <w:r>
        <w:rPr>
          <w:rFonts w:hint="eastAsia" w:ascii="宋体" w:hAnsi="宋体" w:cs="宋体"/>
          <w:b/>
          <w:bCs/>
          <w:color w:val="auto"/>
          <w:spacing w:val="0"/>
          <w:sz w:val="24"/>
          <w:szCs w:val="24"/>
          <w:u w:val="none"/>
          <w:lang w:val="en-US" w:eastAsia="zh-CN"/>
        </w:rPr>
        <w:t>拍卖底价：8150元，增价幅度：100元</w:t>
      </w:r>
      <w:r>
        <w:rPr>
          <w:rFonts w:hint="eastAsia" w:ascii="宋体" w:hAnsi="宋体" w:cs="宋体"/>
          <w:color w:val="auto"/>
          <w:spacing w:val="0"/>
          <w:sz w:val="24"/>
          <w:szCs w:val="24"/>
          <w:u w:val="none"/>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本次拍卖采用网络</w:t>
      </w:r>
      <w:r>
        <w:rPr>
          <w:rFonts w:hint="eastAsia" w:ascii="宋体" w:hAnsi="宋体" w:eastAsia="宋体" w:cs="宋体"/>
          <w:color w:val="auto"/>
          <w:spacing w:val="0"/>
          <w:sz w:val="24"/>
          <w:szCs w:val="24"/>
          <w:lang w:val="en-US" w:eastAsia="zh-CN"/>
        </w:rPr>
        <w:t>拍卖</w:t>
      </w:r>
      <w:r>
        <w:rPr>
          <w:rFonts w:hint="eastAsia" w:ascii="宋体" w:hAnsi="宋体" w:eastAsia="宋体" w:cs="宋体"/>
          <w:color w:val="auto"/>
          <w:spacing w:val="0"/>
          <w:sz w:val="24"/>
          <w:szCs w:val="24"/>
        </w:rPr>
        <w:t>方式进行，竞买人登录资产交易网-资产交易竞价大厅（网址http://www.sdcqpm.com/）进行竞买报价。</w:t>
      </w:r>
      <w:r>
        <w:rPr>
          <w:rFonts w:hint="eastAsia" w:ascii="宋体" w:hAnsi="宋体" w:eastAsia="宋体" w:cs="宋体"/>
          <w:color w:val="auto"/>
          <w:spacing w:val="0"/>
          <w:sz w:val="24"/>
          <w:szCs w:val="24"/>
          <w:lang w:val="en-US" w:eastAsia="zh-CN"/>
        </w:rPr>
        <w:t>加价幅度为</w:t>
      </w:r>
      <w:r>
        <w:rPr>
          <w:rFonts w:hint="eastAsia" w:ascii="宋体" w:hAnsi="宋体" w:cs="宋体"/>
          <w:b/>
          <w:bCs/>
          <w:color w:val="auto"/>
          <w:spacing w:val="0"/>
          <w:sz w:val="24"/>
          <w:szCs w:val="24"/>
          <w:lang w:val="en-US" w:eastAsia="zh-CN"/>
        </w:rPr>
        <w:t>100</w:t>
      </w:r>
      <w:r>
        <w:rPr>
          <w:rFonts w:hint="eastAsia" w:ascii="宋体" w:hAnsi="宋体" w:eastAsia="宋体" w:cs="宋体"/>
          <w:b/>
          <w:bCs/>
          <w:color w:val="auto"/>
          <w:spacing w:val="0"/>
          <w:sz w:val="24"/>
          <w:szCs w:val="24"/>
          <w:lang w:val="en-US" w:eastAsia="zh-CN"/>
        </w:rPr>
        <w:t>元</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除对底价应价外，各竞买人每次加价不得低于加价幅度。</w:t>
      </w:r>
      <w:r>
        <w:rPr>
          <w:rFonts w:hint="eastAsia" w:ascii="宋体" w:hAnsi="宋体" w:cs="宋体"/>
          <w:color w:val="auto"/>
          <w:spacing w:val="0"/>
          <w:sz w:val="24"/>
          <w:szCs w:val="24"/>
          <w:lang w:val="en-US" w:eastAsia="zh-CN"/>
        </w:rPr>
        <w:t>竞价开始时间2025年5月 日上午9时30分，自由竞价时长10分钟，限时竞价时长</w:t>
      </w:r>
      <w:r>
        <w:rPr>
          <w:rFonts w:hint="eastAsia" w:ascii="宋体" w:hAnsi="宋体" w:cs="宋体"/>
          <w:b/>
          <w:bCs/>
          <w:color w:val="auto"/>
          <w:spacing w:val="0"/>
          <w:sz w:val="24"/>
          <w:szCs w:val="24"/>
          <w:lang w:val="en-US" w:eastAsia="zh-CN"/>
        </w:rPr>
        <w:t>1</w:t>
      </w:r>
      <w:r>
        <w:rPr>
          <w:rFonts w:hint="eastAsia" w:ascii="宋体" w:hAnsi="宋体" w:eastAsia="宋体" w:cs="宋体"/>
          <w:b/>
          <w:bCs/>
          <w:color w:val="auto"/>
          <w:spacing w:val="0"/>
          <w:sz w:val="24"/>
          <w:szCs w:val="24"/>
        </w:rPr>
        <w:t>分钟（即</w:t>
      </w:r>
      <w:r>
        <w:rPr>
          <w:rFonts w:hint="eastAsia" w:ascii="宋体" w:hAnsi="宋体" w:cs="宋体"/>
          <w:b/>
          <w:bCs/>
          <w:color w:val="auto"/>
          <w:spacing w:val="0"/>
          <w:sz w:val="24"/>
          <w:szCs w:val="24"/>
          <w:lang w:val="en-US" w:eastAsia="zh-CN"/>
        </w:rPr>
        <w:t>60</w:t>
      </w:r>
      <w:r>
        <w:rPr>
          <w:rFonts w:hint="eastAsia" w:ascii="宋体" w:hAnsi="宋体" w:eastAsia="宋体" w:cs="宋体"/>
          <w:b/>
          <w:bCs/>
          <w:color w:val="auto"/>
          <w:spacing w:val="0"/>
          <w:sz w:val="24"/>
          <w:szCs w:val="24"/>
        </w:rPr>
        <w:t>秒）</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限时报价期</w:t>
      </w:r>
      <w:r>
        <w:rPr>
          <w:rFonts w:hint="eastAsia" w:ascii="宋体" w:hAnsi="宋体" w:eastAsia="宋体" w:cs="宋体"/>
          <w:color w:val="auto"/>
          <w:spacing w:val="0"/>
          <w:sz w:val="24"/>
          <w:szCs w:val="24"/>
        </w:rPr>
        <w:t>内，如出现新的有效报价，</w:t>
      </w:r>
      <w:r>
        <w:rPr>
          <w:rFonts w:hint="eastAsia" w:ascii="宋体" w:hAnsi="宋体" w:cs="宋体"/>
          <w:color w:val="auto"/>
          <w:spacing w:val="0"/>
          <w:sz w:val="24"/>
          <w:szCs w:val="24"/>
          <w:lang w:val="en-US" w:eastAsia="zh-CN"/>
        </w:rPr>
        <w:t>限时报价时长刷新，重新进入60秒倒计时，直至无人出价</w:t>
      </w:r>
      <w:r>
        <w:rPr>
          <w:rFonts w:hint="eastAsia" w:ascii="宋体" w:hAnsi="宋体" w:eastAsia="宋体" w:cs="宋体"/>
          <w:color w:val="auto"/>
          <w:spacing w:val="0"/>
          <w:sz w:val="24"/>
          <w:szCs w:val="24"/>
        </w:rPr>
        <w:t>。</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竞买人登记</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rPr>
        <w:t>（一）在参加拍卖会之前，竞买人</w:t>
      </w:r>
      <w:r>
        <w:rPr>
          <w:rFonts w:hint="eastAsia" w:ascii="宋体" w:hAnsi="宋体" w:cs="宋体"/>
          <w:color w:val="auto"/>
          <w:spacing w:val="0"/>
          <w:sz w:val="24"/>
          <w:szCs w:val="24"/>
          <w:lang w:val="en-US" w:eastAsia="zh-CN"/>
        </w:rPr>
        <w:t>应交纳保证金并</w:t>
      </w:r>
      <w:r>
        <w:rPr>
          <w:rFonts w:hint="eastAsia" w:ascii="宋体" w:hAnsi="宋体" w:eastAsia="宋体" w:cs="宋体"/>
          <w:color w:val="auto"/>
          <w:spacing w:val="0"/>
          <w:sz w:val="24"/>
          <w:szCs w:val="24"/>
        </w:rPr>
        <w:t>签署</w:t>
      </w:r>
      <w:r>
        <w:rPr>
          <w:rFonts w:hint="eastAsia" w:ascii="宋体" w:hAnsi="宋体" w:eastAsia="宋体" w:cs="宋体"/>
          <w:color w:val="auto"/>
          <w:spacing w:val="0"/>
          <w:sz w:val="24"/>
          <w:szCs w:val="24"/>
          <w:highlight w:val="none"/>
          <w:lang w:val="en-US" w:eastAsia="zh-CN"/>
        </w:rPr>
        <w:t>拍卖</w:t>
      </w:r>
      <w:r>
        <w:rPr>
          <w:rFonts w:hint="eastAsia" w:ascii="宋体" w:hAnsi="宋体" w:eastAsia="宋体" w:cs="宋体"/>
          <w:color w:val="auto"/>
          <w:spacing w:val="0"/>
          <w:sz w:val="24"/>
          <w:szCs w:val="24"/>
        </w:rPr>
        <w:t>规则</w:t>
      </w:r>
      <w:r>
        <w:rPr>
          <w:rFonts w:hint="eastAsia" w:ascii="宋体" w:hAnsi="宋体" w:cs="宋体"/>
          <w:color w:val="auto"/>
          <w:spacing w:val="0"/>
          <w:sz w:val="24"/>
          <w:szCs w:val="24"/>
          <w:lang w:eastAsia="zh-CN"/>
        </w:rPr>
        <w:t>，</w:t>
      </w:r>
      <w:r>
        <w:rPr>
          <w:rFonts w:hint="eastAsia" w:ascii="宋体" w:hAnsi="宋体" w:cs="宋体"/>
          <w:b/>
          <w:bCs/>
          <w:color w:val="auto"/>
          <w:spacing w:val="0"/>
          <w:sz w:val="24"/>
          <w:szCs w:val="24"/>
          <w:lang w:val="en-US" w:eastAsia="zh-CN"/>
        </w:rPr>
        <w:t>保证金金额为2000元</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）竞买人在交纳的买保证金</w:t>
      </w:r>
      <w:r>
        <w:rPr>
          <w:rFonts w:hint="eastAsia" w:ascii="宋体" w:hAnsi="宋体" w:eastAsia="宋体" w:cs="宋体"/>
          <w:color w:val="auto"/>
          <w:spacing w:val="0"/>
          <w:sz w:val="24"/>
          <w:szCs w:val="24"/>
          <w:lang w:eastAsia="zh-CN"/>
        </w:rPr>
        <w:t>，</w:t>
      </w:r>
      <w:r>
        <w:rPr>
          <w:rFonts w:hint="eastAsia" w:ascii="宋体" w:hAnsi="宋体" w:eastAsia="宋体" w:cs="宋体"/>
          <w:color w:val="auto"/>
          <w:spacing w:val="0"/>
          <w:sz w:val="24"/>
          <w:szCs w:val="24"/>
        </w:rPr>
        <w:t>为竞买人参与竞买的行为保证。</w:t>
      </w:r>
    </w:p>
    <w:p>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cs="宋体"/>
          <w:color w:val="auto"/>
          <w:spacing w:val="0"/>
          <w:sz w:val="24"/>
          <w:szCs w:val="24"/>
          <w:lang w:val="en-US" w:eastAsia="zh-CN"/>
        </w:rPr>
      </w:pPr>
      <w:r>
        <w:rPr>
          <w:rFonts w:hint="eastAsia" w:ascii="宋体" w:hAnsi="宋体" w:cs="宋体"/>
          <w:color w:val="auto"/>
          <w:spacing w:val="0"/>
          <w:sz w:val="24"/>
          <w:szCs w:val="24"/>
          <w:lang w:val="en-US" w:eastAsia="zh-CN"/>
        </w:rPr>
        <w:t>（三）保证金交款账户：</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户名：山东国赢拍卖有限公司</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开户行：威海市商业银行股份有限公司济南高新区支行</w:t>
      </w:r>
    </w:p>
    <w:p>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auto"/>
          <w:spacing w:val="0"/>
          <w:sz w:val="24"/>
          <w:szCs w:val="24"/>
          <w:lang w:val="en-US" w:eastAsia="zh-CN"/>
        </w:rPr>
      </w:pPr>
      <w:r>
        <w:rPr>
          <w:rFonts w:hint="eastAsia" w:ascii="宋体" w:hAnsi="宋体" w:cs="宋体"/>
          <w:b/>
          <w:bCs/>
          <w:color w:val="auto"/>
          <w:spacing w:val="0"/>
          <w:sz w:val="24"/>
          <w:szCs w:val="24"/>
          <w:lang w:val="en-US" w:eastAsia="zh-CN"/>
        </w:rPr>
        <w:t>账号：8179 7240 1421 0092 12</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四、竞买人的声明与保证</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竞买人了解并遵守《拍卖法》《</w:t>
      </w:r>
      <w:r>
        <w:rPr>
          <w:rFonts w:hint="eastAsia" w:ascii="宋体" w:hAnsi="宋体" w:eastAsia="宋体" w:cs="宋体"/>
          <w:color w:val="auto"/>
          <w:spacing w:val="0"/>
          <w:sz w:val="24"/>
          <w:szCs w:val="24"/>
          <w:lang w:eastAsia="zh-CN"/>
        </w:rPr>
        <w:t>民法典</w:t>
      </w:r>
      <w:r>
        <w:rPr>
          <w:rFonts w:hint="eastAsia" w:ascii="宋体" w:hAnsi="宋体" w:eastAsia="宋体" w:cs="宋体"/>
          <w:color w:val="auto"/>
          <w:spacing w:val="0"/>
          <w:sz w:val="24"/>
          <w:szCs w:val="24"/>
        </w:rPr>
        <w:t>》等法律法规，认真阅读了本拍卖规则，严格履行本拍卖规则的有关约定和承诺。</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（一）竞买人须承诺，自被确定为</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之日起</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个工作日内与转让方签署《资产交易合同》</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将</w:t>
      </w:r>
      <w:r>
        <w:rPr>
          <w:rFonts w:hint="eastAsia" w:ascii="宋体" w:hAnsi="宋体" w:cs="宋体"/>
          <w:color w:val="auto"/>
          <w:spacing w:val="0"/>
          <w:sz w:val="24"/>
          <w:szCs w:val="24"/>
          <w:lang w:val="en-US" w:eastAsia="zh-CN"/>
        </w:rPr>
        <w:t>成交</w:t>
      </w:r>
      <w:r>
        <w:rPr>
          <w:rFonts w:hint="eastAsia" w:ascii="宋体" w:hAnsi="宋体" w:eastAsia="宋体" w:cs="宋体"/>
          <w:color w:val="auto"/>
          <w:spacing w:val="0"/>
          <w:sz w:val="24"/>
          <w:szCs w:val="24"/>
        </w:rPr>
        <w:t>价款和</w:t>
      </w:r>
      <w:r>
        <w:rPr>
          <w:rFonts w:hint="eastAsia" w:ascii="宋体" w:hAnsi="宋体" w:cs="宋体"/>
          <w:color w:val="auto"/>
          <w:spacing w:val="0"/>
          <w:sz w:val="24"/>
          <w:szCs w:val="24"/>
          <w:lang w:val="en-US" w:eastAsia="zh-CN"/>
        </w:rPr>
        <w:t>佣金</w:t>
      </w:r>
      <w:r>
        <w:rPr>
          <w:rFonts w:hint="eastAsia" w:ascii="宋体" w:hAnsi="宋体" w:eastAsia="宋体" w:cs="宋体"/>
          <w:color w:val="auto"/>
          <w:spacing w:val="0"/>
          <w:sz w:val="24"/>
          <w:szCs w:val="24"/>
        </w:rPr>
        <w:t>一次性支付至山东国赢拍卖有限公司指定账户（以到账为准）。</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rPr>
        <w:t>）竞买人须承诺，自转让方通知进场交割之日起10日内完成标的资产的拆除、搬运及场地清理等工作。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三</w:t>
      </w:r>
      <w:r>
        <w:rPr>
          <w:rFonts w:hint="eastAsia" w:ascii="宋体" w:hAnsi="宋体" w:eastAsia="宋体" w:cs="宋体"/>
          <w:color w:val="auto"/>
          <w:spacing w:val="0"/>
          <w:sz w:val="24"/>
          <w:szCs w:val="24"/>
        </w:rPr>
        <w:t>）竞买人须承诺，同意山东国赢拍卖有限公司在</w:t>
      </w:r>
      <w:r>
        <w:rPr>
          <w:rFonts w:hint="eastAsia" w:ascii="宋体" w:hAnsi="宋体" w:cs="宋体"/>
          <w:color w:val="auto"/>
          <w:spacing w:val="0"/>
          <w:sz w:val="24"/>
          <w:szCs w:val="24"/>
          <w:lang w:val="en-US" w:eastAsia="zh-CN"/>
        </w:rPr>
        <w:t>收到交易价款</w:t>
      </w:r>
      <w:r>
        <w:rPr>
          <w:rFonts w:hint="eastAsia" w:ascii="宋体" w:hAnsi="宋体" w:eastAsia="宋体" w:cs="宋体"/>
          <w:color w:val="auto"/>
          <w:spacing w:val="0"/>
          <w:sz w:val="24"/>
          <w:szCs w:val="24"/>
        </w:rPr>
        <w:t>后</w:t>
      </w:r>
      <w:r>
        <w:rPr>
          <w:rFonts w:hint="eastAsia" w:ascii="宋体" w:hAnsi="宋体" w:cs="宋体"/>
          <w:color w:val="auto"/>
          <w:spacing w:val="0"/>
          <w:sz w:val="24"/>
          <w:szCs w:val="24"/>
          <w:lang w:val="en-US" w:eastAsia="zh-CN"/>
        </w:rPr>
        <w:t>7</w:t>
      </w:r>
      <w:r>
        <w:rPr>
          <w:rFonts w:hint="eastAsia" w:ascii="宋体" w:hAnsi="宋体" w:eastAsia="宋体" w:cs="宋体"/>
          <w:color w:val="auto"/>
          <w:spacing w:val="0"/>
          <w:sz w:val="24"/>
          <w:szCs w:val="24"/>
        </w:rPr>
        <w:t>个工作日内将全部交易价款划转至转让方指定账户。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四</w:t>
      </w:r>
      <w:r>
        <w:rPr>
          <w:rFonts w:hint="eastAsia" w:ascii="宋体" w:hAnsi="宋体" w:eastAsia="宋体" w:cs="宋体"/>
          <w:color w:val="auto"/>
          <w:spacing w:val="0"/>
          <w:sz w:val="24"/>
          <w:szCs w:val="24"/>
        </w:rPr>
        <w:t>）竞买人须承诺，本次转让为按标的现状交接，</w:t>
      </w:r>
      <w:r>
        <w:rPr>
          <w:rFonts w:hint="eastAsia" w:ascii="宋体" w:hAnsi="宋体" w:cs="宋体"/>
          <w:color w:val="auto"/>
          <w:spacing w:val="0"/>
          <w:sz w:val="24"/>
          <w:szCs w:val="24"/>
          <w:lang w:val="en-US" w:eastAsia="zh-CN"/>
        </w:rPr>
        <w:t>买受人</w:t>
      </w:r>
      <w:r>
        <w:rPr>
          <w:rFonts w:hint="eastAsia" w:ascii="宋体" w:hAnsi="宋体" w:eastAsia="宋体" w:cs="宋体"/>
          <w:color w:val="auto"/>
          <w:spacing w:val="0"/>
          <w:sz w:val="24"/>
          <w:szCs w:val="24"/>
        </w:rPr>
        <w:t>同意按照标的资产现有状况接收标的。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Arial" w:hAnsi="Arial" w:eastAsia="Arial" w:cs="Arial"/>
          <w:i w:val="0"/>
          <w:iCs w:val="0"/>
          <w:caps w:val="0"/>
          <w:color w:val="000000"/>
          <w:spacing w:val="0"/>
          <w:sz w:val="24"/>
          <w:szCs w:val="24"/>
          <w:shd w:val="clear" w:fill="FFFFFF"/>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五</w:t>
      </w:r>
      <w:r>
        <w:rPr>
          <w:rFonts w:hint="eastAsia" w:ascii="宋体" w:hAnsi="宋体" w:eastAsia="宋体" w:cs="宋体"/>
          <w:color w:val="auto"/>
          <w:spacing w:val="0"/>
          <w:sz w:val="24"/>
          <w:szCs w:val="24"/>
        </w:rPr>
        <w:t>）竞买人须承</w:t>
      </w:r>
      <w:r>
        <w:rPr>
          <w:rFonts w:hint="eastAsia" w:ascii="Arial" w:hAnsi="Arial" w:eastAsia="Arial" w:cs="Arial"/>
          <w:i w:val="0"/>
          <w:iCs w:val="0"/>
          <w:caps w:val="0"/>
          <w:color w:val="000000"/>
          <w:spacing w:val="0"/>
          <w:sz w:val="24"/>
          <w:szCs w:val="24"/>
          <w:shd w:val="clear" w:fill="FFFFFF"/>
        </w:rPr>
        <w:t>诺，自行承担标的资产的拆除、装卸、运输等相关费用；现场核对好资产附件，自行准备拆解、装卸、运输等器具与机械等，所有作业器具与行为须符合转让方生产现场安全管理制度，不得影响转让方正常生产秩序，拉运标的资产出厂必须出具由转让方开具的出门凭证，无证不得出厂。</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）竞买人须承诺，</w:t>
      </w:r>
      <w:r>
        <w:rPr>
          <w:rFonts w:hint="eastAsia" w:ascii="Arial" w:hAnsi="Arial" w:eastAsia="Arial" w:cs="Arial"/>
          <w:i w:val="0"/>
          <w:iCs w:val="0"/>
          <w:caps w:val="0"/>
          <w:color w:val="000000"/>
          <w:spacing w:val="0"/>
          <w:sz w:val="24"/>
          <w:szCs w:val="24"/>
          <w:shd w:val="clear" w:fill="FFFFFF"/>
        </w:rPr>
        <w:t>拆除标的资产过程中不得破坏转让方的房屋建筑物，确需拆除房屋时应事先征得转让方同意，并事后恢复原样。同时，承担破坏标的资产房屋墙体、地面与恢复原状、卫生清理等工作产生的所有相关费用以及期间发生的安全责任</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七</w:t>
      </w: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竞买人</w:t>
      </w:r>
      <w:r>
        <w:rPr>
          <w:rFonts w:hint="eastAsia" w:ascii="宋体" w:hAnsi="宋体" w:eastAsia="宋体" w:cs="宋体"/>
          <w:color w:val="auto"/>
          <w:spacing w:val="0"/>
          <w:sz w:val="24"/>
          <w:szCs w:val="24"/>
        </w:rPr>
        <w:t>须承诺，在拆解、装卸、运输等过程中发生的人身伤害等一切安全事故及经济赔偿均由受让方承担，转让方不承担任何责任和费用。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八</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竞买人须承诺，在挂牌公告期间已自行对标的资产进行了全面了解，一经递交受让申请并交纳交易保证金后，即表明理解并接受本次资产转让的所有内容及程序，完全了解与认可转让标的状况以及存在的瑕疵等一切内容，并自行承担受让标的所带来的一切风险和后果；成为最终受让方后不得以不了解转让标的为由退还转让标的，否则将视为违约；非因转让方原因所引发的风险因素，由受让方自行承担。</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五、瑕疵声明</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（一）拍卖人及工作人员对拍卖标的所作的介绍是对拍卖标的概括性描述，不构成对拍卖标的的任何担保。竞买人应自行认定拍卖标的有关材料</w:t>
      </w:r>
      <w:r>
        <w:rPr>
          <w:rFonts w:hint="eastAsia" w:ascii="宋体" w:hAnsi="宋体" w:eastAsia="宋体" w:cs="宋体"/>
          <w:color w:val="auto"/>
          <w:spacing w:val="0"/>
          <w:sz w:val="24"/>
          <w:szCs w:val="24"/>
          <w:lang w:val="en-US" w:eastAsia="zh-CN"/>
        </w:rPr>
        <w:t>的</w:t>
      </w:r>
      <w:r>
        <w:rPr>
          <w:rFonts w:hint="eastAsia" w:ascii="宋体" w:hAnsi="宋体" w:eastAsia="宋体" w:cs="宋体"/>
          <w:color w:val="auto"/>
          <w:spacing w:val="0"/>
          <w:sz w:val="24"/>
          <w:szCs w:val="24"/>
        </w:rPr>
        <w:t>真实性并对自己的行为负责。拍卖人有权于拍卖会前修订《拍卖规则》。</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（二）标的</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均按现场展示的状况及状态进行现状转让和交接，转让方对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所作出的说明及相关资料均是对标的所作的参考性说明，不作为转让方对</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品质的任何担保，也不作为</w:t>
      </w:r>
      <w:r>
        <w:rPr>
          <w:rFonts w:hint="eastAsia" w:ascii="宋体" w:hAnsi="宋体" w:cs="宋体"/>
          <w:color w:val="auto"/>
          <w:spacing w:val="0"/>
          <w:sz w:val="24"/>
          <w:szCs w:val="24"/>
          <w:lang w:val="en-US" w:eastAsia="zh-CN"/>
        </w:rPr>
        <w:t>标的资产</w:t>
      </w:r>
      <w:r>
        <w:rPr>
          <w:rFonts w:hint="eastAsia" w:ascii="宋体" w:hAnsi="宋体" w:eastAsia="宋体" w:cs="宋体"/>
          <w:color w:val="auto"/>
          <w:spacing w:val="0"/>
          <w:sz w:val="24"/>
          <w:szCs w:val="24"/>
        </w:rPr>
        <w:t>现状的法律依据和标的移交的凭据。本拍卖人不保证委托的标的不存在其他瑕疵，竞买人应认真、审慎地了解标的的实际情况、瑕疵及可能存在的瑕疵。竞买人竞价应谨慎，一经参拍，即表示自愿承担本次拍卖会拍卖标的的所有瑕疵责任，并自愿接受标的现状。</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（三）本次拍卖标的成交价不包括</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及其他费用。</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四</w:t>
      </w:r>
      <w:r>
        <w:rPr>
          <w:rFonts w:hint="eastAsia" w:ascii="宋体" w:hAnsi="宋体" w:cs="宋体"/>
          <w:color w:val="auto"/>
          <w:spacing w:val="0"/>
          <w:sz w:val="24"/>
          <w:szCs w:val="24"/>
          <w:lang w:eastAsia="zh-CN"/>
        </w:rPr>
        <w:t>）</w:t>
      </w:r>
      <w:r>
        <w:rPr>
          <w:rFonts w:hint="eastAsia" w:ascii="宋体" w:hAnsi="宋体" w:eastAsia="宋体" w:cs="宋体"/>
          <w:color w:val="auto"/>
          <w:spacing w:val="0"/>
          <w:sz w:val="24"/>
          <w:szCs w:val="24"/>
        </w:rPr>
        <w:t>其他事项详见</w:t>
      </w:r>
      <w:r>
        <w:rPr>
          <w:rFonts w:hint="eastAsia" w:ascii="宋体" w:hAnsi="宋体"/>
          <w:color w:val="auto"/>
          <w:sz w:val="24"/>
          <w:lang w:val="en-US" w:eastAsia="zh-CN"/>
        </w:rPr>
        <w:t>德价所(2025)第00019号价格评估报告</w:t>
      </w:r>
      <w:r>
        <w:rPr>
          <w:rFonts w:hint="eastAsia" w:ascii="宋体" w:hAnsi="宋体" w:eastAsia="宋体" w:cs="宋体"/>
          <w:color w:val="auto"/>
          <w:spacing w:val="0"/>
          <w:sz w:val="24"/>
          <w:szCs w:val="24"/>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六</w:t>
      </w:r>
      <w:r>
        <w:rPr>
          <w:rFonts w:hint="eastAsia" w:ascii="宋体" w:hAnsi="宋体" w:eastAsia="宋体" w:cs="宋体"/>
          <w:color w:val="auto"/>
          <w:spacing w:val="0"/>
          <w:sz w:val="24"/>
          <w:szCs w:val="24"/>
        </w:rPr>
        <w:t>、拍卖成交后，</w:t>
      </w:r>
      <w:r>
        <w:rPr>
          <w:rFonts w:hint="eastAsia" w:ascii="宋体" w:hAnsi="宋体" w:eastAsia="宋体" w:cs="宋体"/>
          <w:color w:val="auto"/>
          <w:spacing w:val="0"/>
          <w:sz w:val="24"/>
          <w:szCs w:val="24"/>
          <w:lang w:val="en-US" w:eastAsia="zh-CN"/>
        </w:rPr>
        <w:t>自被确定为买受人</w:t>
      </w:r>
      <w:r>
        <w:rPr>
          <w:rFonts w:hint="eastAsia" w:ascii="宋体" w:hAnsi="宋体" w:cs="宋体"/>
          <w:color w:val="auto"/>
          <w:spacing w:val="0"/>
          <w:sz w:val="24"/>
          <w:szCs w:val="24"/>
          <w:lang w:val="en-US" w:eastAsia="zh-CN"/>
        </w:rPr>
        <w:t>之</w:t>
      </w:r>
      <w:r>
        <w:rPr>
          <w:rFonts w:hint="eastAsia" w:ascii="宋体" w:hAnsi="宋体" w:eastAsia="宋体" w:cs="宋体"/>
          <w:color w:val="auto"/>
          <w:spacing w:val="0"/>
          <w:sz w:val="24"/>
          <w:szCs w:val="24"/>
          <w:lang w:val="en-US" w:eastAsia="zh-CN"/>
        </w:rPr>
        <w:t>日起</w:t>
      </w:r>
      <w:r>
        <w:rPr>
          <w:rFonts w:hint="eastAsia" w:ascii="宋体" w:hAnsi="宋体" w:cs="宋体"/>
          <w:color w:val="auto"/>
          <w:spacing w:val="0"/>
          <w:sz w:val="24"/>
          <w:szCs w:val="24"/>
          <w:lang w:val="en-US" w:eastAsia="zh-CN"/>
        </w:rPr>
        <w:t>2</w:t>
      </w:r>
      <w:r>
        <w:rPr>
          <w:rFonts w:hint="eastAsia" w:ascii="宋体" w:hAnsi="宋体" w:eastAsia="宋体" w:cs="宋体"/>
          <w:color w:val="auto"/>
          <w:spacing w:val="0"/>
          <w:sz w:val="24"/>
          <w:szCs w:val="24"/>
          <w:lang w:val="en-US" w:eastAsia="zh-CN"/>
        </w:rPr>
        <w:t>个工作日内</w:t>
      </w:r>
      <w:r>
        <w:rPr>
          <w:rFonts w:hint="eastAsia" w:ascii="宋体" w:hAnsi="宋体" w:eastAsia="宋体" w:cs="宋体"/>
          <w:color w:val="auto"/>
          <w:spacing w:val="0"/>
          <w:sz w:val="24"/>
          <w:szCs w:val="24"/>
        </w:rPr>
        <w:t>与拍卖人签订《拍卖成交确认书》</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凭拍卖成交确认书与</w:t>
      </w:r>
      <w:r>
        <w:rPr>
          <w:rFonts w:hint="eastAsia" w:ascii="宋体" w:hAnsi="宋体" w:eastAsia="宋体" w:cs="宋体"/>
          <w:color w:val="auto"/>
          <w:spacing w:val="0"/>
          <w:sz w:val="24"/>
          <w:szCs w:val="24"/>
        </w:rPr>
        <w:t>转让方签署《资产交易合同》</w:t>
      </w:r>
      <w:r>
        <w:rPr>
          <w:rFonts w:hint="eastAsia" w:ascii="宋体" w:hAnsi="宋体" w:cs="宋体"/>
          <w:color w:val="auto"/>
          <w:spacing w:val="0"/>
          <w:sz w:val="24"/>
          <w:szCs w:val="24"/>
          <w:lang w:eastAsia="zh-CN"/>
        </w:rPr>
        <w:t>。</w:t>
      </w:r>
      <w:r>
        <w:rPr>
          <w:rFonts w:hint="eastAsia" w:ascii="宋体" w:hAnsi="宋体" w:cs="宋体"/>
          <w:color w:val="auto"/>
          <w:spacing w:val="0"/>
          <w:sz w:val="24"/>
          <w:szCs w:val="24"/>
          <w:lang w:val="en-US" w:eastAsia="zh-CN"/>
        </w:rPr>
        <w:t>未成交竞买人的保证金本公司将在5个工作日内无息退还。</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eastAsia="宋体" w:cs="宋体"/>
          <w:i w:val="0"/>
          <w:iCs w:val="0"/>
          <w:caps w:val="0"/>
          <w:color w:val="auto"/>
          <w:spacing w:val="0"/>
          <w:sz w:val="24"/>
          <w:szCs w:val="24"/>
          <w:shd w:val="clear" w:color="auto" w:fill="FFFFFF"/>
          <w:lang w:eastAsia="zh-CN"/>
        </w:rPr>
        <w:t>七、</w:t>
      </w:r>
      <w:r>
        <w:rPr>
          <w:rFonts w:hint="eastAsia" w:ascii="宋体" w:hAnsi="宋体" w:eastAsia="宋体" w:cs="宋体"/>
          <w:b/>
          <w:bCs/>
          <w:i w:val="0"/>
          <w:iCs w:val="0"/>
          <w:caps w:val="0"/>
          <w:color w:val="auto"/>
          <w:spacing w:val="0"/>
          <w:sz w:val="24"/>
          <w:szCs w:val="24"/>
          <w:shd w:val="clear" w:color="auto" w:fill="FFFFFF"/>
          <w:lang w:eastAsia="zh-CN"/>
        </w:rPr>
        <w:t>拍卖成交后</w:t>
      </w:r>
      <w:r>
        <w:rPr>
          <w:rFonts w:hint="eastAsia" w:ascii="宋体" w:hAnsi="宋体" w:cs="宋体"/>
          <w:b/>
          <w:bCs/>
          <w:i w:val="0"/>
          <w:iCs w:val="0"/>
          <w:caps w:val="0"/>
          <w:color w:val="auto"/>
          <w:spacing w:val="0"/>
          <w:sz w:val="24"/>
          <w:szCs w:val="24"/>
          <w:shd w:val="clear" w:color="auto" w:fill="FFFFFF"/>
          <w:lang w:val="en-US" w:eastAsia="zh-CN"/>
        </w:rPr>
        <w:t>，买受人应向本公司支付服务费，服务费为成交价的5%，服务费不足500元按500元支付</w:t>
      </w:r>
      <w:r>
        <w:rPr>
          <w:rFonts w:hint="eastAsia" w:ascii="宋体" w:hAnsi="宋体" w:cs="宋体"/>
          <w:i w:val="0"/>
          <w:iCs w:val="0"/>
          <w:caps w:val="0"/>
          <w:color w:val="auto"/>
          <w:spacing w:val="0"/>
          <w:sz w:val="24"/>
          <w:szCs w:val="24"/>
          <w:shd w:val="clear" w:color="auto" w:fill="FFFFFF"/>
          <w:lang w:eastAsia="zh-CN"/>
        </w:rPr>
        <w:t>。</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i w:val="0"/>
          <w:iCs w:val="0"/>
          <w:caps w:val="0"/>
          <w:color w:val="auto"/>
          <w:spacing w:val="0"/>
          <w:sz w:val="24"/>
          <w:szCs w:val="24"/>
          <w:shd w:val="clear" w:color="auto" w:fill="FFFFFF"/>
        </w:rPr>
      </w:pPr>
      <w:r>
        <w:rPr>
          <w:rFonts w:hint="eastAsia" w:ascii="宋体" w:hAnsi="宋体" w:cs="宋体"/>
          <w:i w:val="0"/>
          <w:iCs w:val="0"/>
          <w:caps w:val="0"/>
          <w:color w:val="auto"/>
          <w:spacing w:val="0"/>
          <w:sz w:val="24"/>
          <w:szCs w:val="24"/>
          <w:shd w:val="clear" w:color="auto" w:fill="FFFFFF"/>
          <w:lang w:val="en-US" w:eastAsia="zh-CN"/>
        </w:rPr>
        <w:t>八</w:t>
      </w:r>
      <w:r>
        <w:rPr>
          <w:rFonts w:hint="eastAsia" w:ascii="宋体" w:hAnsi="宋体" w:eastAsia="宋体" w:cs="宋体"/>
          <w:i w:val="0"/>
          <w:iCs w:val="0"/>
          <w:caps w:val="0"/>
          <w:color w:val="auto"/>
          <w:spacing w:val="0"/>
          <w:sz w:val="24"/>
          <w:szCs w:val="24"/>
          <w:shd w:val="clear" w:color="auto" w:fill="FFFFFF"/>
        </w:rPr>
        <w:t>、本拍卖人不负责该项目</w:t>
      </w:r>
      <w:r>
        <w:rPr>
          <w:rFonts w:hint="eastAsia" w:ascii="宋体" w:hAnsi="宋体" w:cs="宋体"/>
          <w:i w:val="0"/>
          <w:iCs w:val="0"/>
          <w:caps w:val="0"/>
          <w:color w:val="auto"/>
          <w:spacing w:val="0"/>
          <w:sz w:val="24"/>
          <w:szCs w:val="24"/>
          <w:shd w:val="clear" w:color="auto" w:fill="FFFFFF"/>
          <w:lang w:val="en-US" w:eastAsia="zh-CN"/>
        </w:rPr>
        <w:t>产权</w:t>
      </w:r>
      <w:r>
        <w:rPr>
          <w:rFonts w:hint="eastAsia" w:ascii="宋体" w:hAnsi="宋体" w:eastAsia="宋体" w:cs="宋体"/>
          <w:i w:val="0"/>
          <w:iCs w:val="0"/>
          <w:caps w:val="0"/>
          <w:color w:val="auto"/>
          <w:spacing w:val="0"/>
          <w:sz w:val="24"/>
          <w:szCs w:val="24"/>
          <w:shd w:val="clear" w:color="auto" w:fill="FFFFFF"/>
        </w:rPr>
        <w:t>的移交、监交工作。</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九</w:t>
      </w:r>
      <w:r>
        <w:rPr>
          <w:rFonts w:hint="eastAsia" w:ascii="宋体" w:hAnsi="宋体" w:eastAsia="宋体" w:cs="宋体"/>
          <w:color w:val="auto"/>
          <w:spacing w:val="0"/>
          <w:sz w:val="24"/>
          <w:szCs w:val="24"/>
        </w:rPr>
        <w:t>、如买受人有下列行为之一的，即构成违约。买受人违约的，竞买保证金不予退还，买受人不得参与本标的的再行拍卖。本拍卖标的再行拍卖，原买受人应当支付第一次拍卖中本人及委托人应当支付的</w:t>
      </w:r>
      <w:r>
        <w:rPr>
          <w:rFonts w:hint="eastAsia" w:ascii="宋体" w:hAnsi="宋体" w:eastAsia="宋体" w:cs="宋体"/>
          <w:color w:val="auto"/>
          <w:spacing w:val="0"/>
          <w:sz w:val="24"/>
          <w:szCs w:val="24"/>
          <w:lang w:val="en-US" w:eastAsia="zh-CN"/>
        </w:rPr>
        <w:t>交易费用</w:t>
      </w:r>
      <w:r>
        <w:rPr>
          <w:rFonts w:hint="eastAsia" w:ascii="宋体" w:hAnsi="宋体" w:eastAsia="宋体" w:cs="宋体"/>
          <w:color w:val="auto"/>
          <w:spacing w:val="0"/>
          <w:sz w:val="24"/>
          <w:szCs w:val="24"/>
        </w:rPr>
        <w:t>。再行拍卖的成交价低于原拍卖成交价的，原买受人应当补足差额。同时，拍卖人有权对未按本规则履行约定义务的买受人诉诸法律，要求其履行约定义务，并赔偿拍卖人因其违约造成的一切损失。</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（一）买受人提供虚假、失实材料的；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（二）买受人串通或干扰其他竞买人公平竞争等扰乱正常秩序的；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（三）买受人拒绝在《拍卖成交确认书》上签字的；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（四）买受人拒绝或逾期签署《</w:t>
      </w:r>
      <w:r>
        <w:rPr>
          <w:rFonts w:hint="eastAsia" w:ascii="宋体" w:hAnsi="宋体" w:cs="宋体"/>
          <w:color w:val="auto"/>
          <w:spacing w:val="0"/>
          <w:sz w:val="24"/>
          <w:szCs w:val="24"/>
          <w:lang w:val="en-US" w:eastAsia="zh-CN"/>
        </w:rPr>
        <w:t>资产</w:t>
      </w:r>
      <w:r>
        <w:rPr>
          <w:rFonts w:hint="eastAsia" w:ascii="宋体" w:hAnsi="宋体" w:eastAsia="宋体" w:cs="宋体"/>
          <w:color w:val="auto"/>
          <w:spacing w:val="0"/>
          <w:sz w:val="24"/>
          <w:szCs w:val="24"/>
        </w:rPr>
        <w:t>交易合同》的；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（五）买受人在规定期限内不办理</w:t>
      </w:r>
      <w:r>
        <w:rPr>
          <w:rFonts w:hint="eastAsia" w:ascii="宋体" w:hAnsi="宋体" w:cs="宋体"/>
          <w:color w:val="auto"/>
          <w:spacing w:val="0"/>
          <w:sz w:val="24"/>
          <w:szCs w:val="24"/>
          <w:lang w:val="en-US" w:eastAsia="zh-CN"/>
        </w:rPr>
        <w:t>产权</w:t>
      </w:r>
      <w:r>
        <w:rPr>
          <w:rFonts w:hint="eastAsia" w:ascii="宋体" w:hAnsi="宋体" w:eastAsia="宋体" w:cs="宋体"/>
          <w:color w:val="auto"/>
          <w:spacing w:val="0"/>
          <w:sz w:val="24"/>
          <w:szCs w:val="24"/>
          <w:lang w:val="en-US" w:eastAsia="zh-CN"/>
        </w:rPr>
        <w:t>交割等</w:t>
      </w:r>
      <w:r>
        <w:rPr>
          <w:rFonts w:hint="eastAsia" w:ascii="宋体" w:hAnsi="宋体" w:eastAsia="宋体" w:cs="宋体"/>
          <w:color w:val="auto"/>
          <w:spacing w:val="0"/>
          <w:sz w:val="24"/>
          <w:szCs w:val="24"/>
        </w:rPr>
        <w:t>有关手续的；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w:t>
      </w:r>
      <w:r>
        <w:rPr>
          <w:rFonts w:hint="eastAsia" w:ascii="宋体" w:hAnsi="宋体" w:cs="宋体"/>
          <w:color w:val="auto"/>
          <w:spacing w:val="0"/>
          <w:sz w:val="24"/>
          <w:szCs w:val="24"/>
          <w:lang w:val="en-US" w:eastAsia="zh-CN"/>
        </w:rPr>
        <w:t>六</w:t>
      </w:r>
      <w:r>
        <w:rPr>
          <w:rFonts w:hint="eastAsia" w:ascii="宋体" w:hAnsi="宋体" w:eastAsia="宋体" w:cs="宋体"/>
          <w:color w:val="auto"/>
          <w:spacing w:val="0"/>
          <w:sz w:val="24"/>
          <w:szCs w:val="24"/>
        </w:rPr>
        <w:t>）买受人逾期未履行相应付款义务的。</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十</w:t>
      </w:r>
      <w:r>
        <w:rPr>
          <w:rFonts w:hint="eastAsia" w:ascii="宋体" w:hAnsi="宋体" w:eastAsia="宋体" w:cs="宋体"/>
          <w:color w:val="auto"/>
          <w:spacing w:val="0"/>
          <w:sz w:val="24"/>
          <w:szCs w:val="24"/>
        </w:rPr>
        <w:t>、本次拍卖采用网络竞价方式。</w:t>
      </w:r>
      <w:r>
        <w:rPr>
          <w:rFonts w:hint="eastAsia" w:ascii="宋体" w:hAnsi="宋体" w:cs="宋体"/>
          <w:color w:val="auto"/>
          <w:spacing w:val="0"/>
          <w:sz w:val="24"/>
          <w:szCs w:val="24"/>
          <w:lang w:val="en-US" w:eastAsia="zh-CN"/>
        </w:rPr>
        <w:t>通过</w:t>
      </w:r>
      <w:r>
        <w:rPr>
          <w:rFonts w:hint="eastAsia" w:ascii="宋体" w:hAnsi="宋体" w:eastAsia="宋体" w:cs="宋体"/>
          <w:color w:val="auto"/>
          <w:spacing w:val="0"/>
          <w:sz w:val="24"/>
          <w:szCs w:val="24"/>
        </w:rPr>
        <w:t>“资产交易网-资产交易竞价大厅（网址http://www.sdcqpm.com/）”</w:t>
      </w:r>
      <w:r>
        <w:rPr>
          <w:rFonts w:hint="eastAsia" w:ascii="宋体" w:hAnsi="宋体" w:cs="宋体"/>
          <w:color w:val="auto"/>
          <w:spacing w:val="0"/>
          <w:sz w:val="24"/>
          <w:szCs w:val="24"/>
          <w:lang w:val="en-US" w:eastAsia="zh-CN"/>
        </w:rPr>
        <w:t>竞价</w:t>
      </w:r>
      <w:r>
        <w:rPr>
          <w:rFonts w:hint="eastAsia" w:ascii="宋体" w:hAnsi="宋体" w:eastAsia="宋体" w:cs="宋体"/>
          <w:color w:val="auto"/>
          <w:spacing w:val="0"/>
          <w:sz w:val="24"/>
          <w:szCs w:val="24"/>
        </w:rPr>
        <w:t>。竞买人应于竞价前注册完毕网络竞价账号。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（1）竞买人应自行注册网络拍卖账号。</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2）网络竞价过程中，如遇不可抗力，包括但不限于网络不通畅、竞价系统出现故障、黑客攻击等事由，出现信息中断、竞价时间不完整、图文变异、系统瘫痪、竞买人无法在网上出价等情形，导致拍卖会无法正常进行，</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有权延迟、暂停或另行举行拍卖会。若拍卖记录可以恢复的，重新启动竞价后，起始价为网络中断时的最高有效报价；若竞价记录无法恢复的，底价为标的起始价。如竞买人自身操作问题导致无法参加竞价的，由竞买人自行负责。通过资产拍卖竞价系统进行网络竞价的竞买人，承诺已经对可能发生的故障有充分准备，并放弃因此类故障要求</w:t>
      </w:r>
      <w:r>
        <w:rPr>
          <w:rFonts w:hint="eastAsia" w:ascii="宋体" w:hAnsi="宋体" w:cs="宋体"/>
          <w:color w:val="auto"/>
          <w:spacing w:val="0"/>
          <w:sz w:val="24"/>
          <w:szCs w:val="24"/>
          <w:lang w:val="en-US" w:eastAsia="zh-CN"/>
        </w:rPr>
        <w:t>拍卖人</w:t>
      </w:r>
      <w:r>
        <w:rPr>
          <w:rFonts w:hint="eastAsia" w:ascii="宋体" w:hAnsi="宋体" w:eastAsia="宋体" w:cs="宋体"/>
          <w:color w:val="auto"/>
          <w:spacing w:val="0"/>
          <w:sz w:val="24"/>
          <w:szCs w:val="24"/>
        </w:rPr>
        <w:t>承担任何赔偿责任。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3）竞买人应对自己的账号和密码进行保密，在本系统上以竞买人的帐号和密码登录后进行的操作，均被视为竞买人的行为，竞买人应当对以其帐号进行的所有活动和事件负法律责任。竞买人报价金额的币种仅限为人民币，报价前须仔细核对报价金额及单位，确认无误后方可出价。竞买人报价一经确认，竞价系统均有记录，不得撤回或撤销。竞买人不得扰乱竞价秩序，更不得恶意串通，影响或操纵其他竞买人竞价，如有发现将取消其竞买资格，没收竞买保证金，并追究其相应的法律责任。</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一</w:t>
      </w:r>
      <w:r>
        <w:rPr>
          <w:rFonts w:hint="eastAsia" w:ascii="宋体" w:hAnsi="宋体" w:eastAsia="宋体" w:cs="宋体"/>
          <w:color w:val="auto"/>
          <w:spacing w:val="0"/>
          <w:sz w:val="24"/>
          <w:szCs w:val="24"/>
        </w:rPr>
        <w:t>、竞买人一经在本文件上签字即表明同意遵循本规则之规定，并对自己竞买行为负责，不得影响他人竞买秩序。</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十</w:t>
      </w:r>
      <w:r>
        <w:rPr>
          <w:rFonts w:hint="eastAsia" w:ascii="宋体" w:hAnsi="宋体" w:cs="宋体"/>
          <w:color w:val="auto"/>
          <w:spacing w:val="0"/>
          <w:sz w:val="24"/>
          <w:szCs w:val="24"/>
          <w:lang w:val="en-US" w:eastAsia="zh-CN"/>
        </w:rPr>
        <w:t>二</w:t>
      </w:r>
      <w:r>
        <w:rPr>
          <w:rFonts w:hint="eastAsia" w:ascii="宋体" w:hAnsi="宋体" w:eastAsia="宋体" w:cs="宋体"/>
          <w:color w:val="auto"/>
          <w:spacing w:val="0"/>
          <w:sz w:val="24"/>
          <w:szCs w:val="24"/>
          <w:lang w:val="en-US" w:eastAsia="zh-CN"/>
        </w:rPr>
        <w:t>、本《拍卖规则》复印件、扫描件与原价具有同样法律效力。</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pStyle w:val="2"/>
        <w:keepNext w:val="0"/>
        <w:keepLines w:val="0"/>
        <w:pageBreakBefore w:val="0"/>
        <w:widowControl w:val="0"/>
        <w:kinsoku/>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cs="宋体"/>
          <w:color w:val="auto"/>
          <w:spacing w:val="0"/>
          <w:sz w:val="24"/>
          <w:szCs w:val="24"/>
          <w:lang w:eastAsia="zh-CN"/>
        </w:rPr>
        <w:t>山东国赢拍卖</w:t>
      </w:r>
      <w:r>
        <w:rPr>
          <w:rFonts w:hint="eastAsia" w:ascii="宋体" w:hAnsi="宋体" w:eastAsia="宋体" w:cs="宋体"/>
          <w:color w:val="auto"/>
          <w:spacing w:val="0"/>
          <w:sz w:val="24"/>
          <w:szCs w:val="24"/>
        </w:rPr>
        <w:t>有限公司</w:t>
      </w:r>
    </w:p>
    <w:p>
      <w:pPr>
        <w:keepNext w:val="0"/>
        <w:keepLines w:val="0"/>
        <w:pageBreakBefore w:val="0"/>
        <w:widowControl w:val="0"/>
        <w:kinsoku/>
        <w:wordWrap/>
        <w:overflowPunct/>
        <w:topLinePunct w:val="0"/>
        <w:autoSpaceDE/>
        <w:autoSpaceDN/>
        <w:bidi w:val="0"/>
        <w:adjustRightInd/>
        <w:snapToGrid/>
        <w:spacing w:line="400" w:lineRule="exact"/>
        <w:jc w:val="righ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 xml:space="preserve">   </w:t>
      </w:r>
      <w:r>
        <w:rPr>
          <w:rFonts w:hint="eastAsia" w:ascii="宋体" w:hAnsi="宋体" w:cs="宋体"/>
          <w:color w:val="auto"/>
          <w:spacing w:val="0"/>
          <w:sz w:val="24"/>
          <w:szCs w:val="24"/>
          <w:lang w:val="en-US" w:eastAsia="zh-CN"/>
        </w:rPr>
        <w:t>2025</w:t>
      </w:r>
      <w:r>
        <w:rPr>
          <w:rFonts w:hint="eastAsia" w:ascii="宋体" w:hAnsi="宋体" w:eastAsia="宋体" w:cs="宋体"/>
          <w:color w:val="auto"/>
          <w:spacing w:val="0"/>
          <w:sz w:val="24"/>
          <w:szCs w:val="24"/>
        </w:rPr>
        <w:t>年</w:t>
      </w:r>
      <w:r>
        <w:rPr>
          <w:rFonts w:hint="eastAsia" w:ascii="宋体" w:hAnsi="宋体" w:cs="宋体"/>
          <w:color w:val="auto"/>
          <w:spacing w:val="0"/>
          <w:sz w:val="24"/>
          <w:szCs w:val="24"/>
          <w:lang w:val="en-US" w:eastAsia="zh-CN"/>
        </w:rPr>
        <w:t>5</w:t>
      </w:r>
      <w:r>
        <w:rPr>
          <w:rFonts w:hint="eastAsia" w:ascii="宋体" w:hAnsi="宋体" w:eastAsia="宋体" w:cs="宋体"/>
          <w:color w:val="auto"/>
          <w:spacing w:val="0"/>
          <w:sz w:val="24"/>
          <w:szCs w:val="24"/>
        </w:rPr>
        <w:t>月</w:t>
      </w:r>
      <w:r>
        <w:rPr>
          <w:rFonts w:hint="eastAsia" w:ascii="宋体" w:hAnsi="宋体" w:cs="宋体"/>
          <w:color w:val="auto"/>
          <w:spacing w:val="0"/>
          <w:sz w:val="24"/>
          <w:szCs w:val="24"/>
          <w:lang w:val="en-US" w:eastAsia="zh-CN"/>
        </w:rPr>
        <w:t>22</w:t>
      </w:r>
      <w:bookmarkStart w:id="0" w:name="_GoBack"/>
      <w:bookmarkEnd w:id="0"/>
      <w:r>
        <w:rPr>
          <w:rFonts w:hint="eastAsia" w:ascii="宋体" w:hAnsi="宋体" w:eastAsia="宋体" w:cs="宋体"/>
          <w:color w:val="auto"/>
          <w:spacing w:val="0"/>
          <w:sz w:val="24"/>
          <w:szCs w:val="24"/>
        </w:rPr>
        <w:t>日</w:t>
      </w:r>
    </w:p>
    <w:p>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竞买人已被告知并完全接受上述《拍卖规则》之规定。</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rPr>
      </w:pPr>
      <w:r>
        <w:rPr>
          <w:rFonts w:hint="eastAsia" w:ascii="宋体" w:hAnsi="宋体" w:eastAsia="宋体" w:cs="宋体"/>
          <w:color w:val="auto"/>
          <w:spacing w:val="0"/>
          <w:sz w:val="24"/>
          <w:szCs w:val="24"/>
        </w:rPr>
        <w:t>竞买人（盖章</w:t>
      </w:r>
      <w:r>
        <w:rPr>
          <w:rFonts w:hint="eastAsia" w:ascii="宋体" w:hAnsi="宋体" w:eastAsia="宋体" w:cs="宋体"/>
          <w:color w:val="auto"/>
          <w:spacing w:val="0"/>
          <w:sz w:val="24"/>
          <w:szCs w:val="24"/>
          <w:lang w:val="en-US" w:eastAsia="zh-CN"/>
        </w:rPr>
        <w:t>/</w:t>
      </w:r>
      <w:r>
        <w:rPr>
          <w:rFonts w:hint="eastAsia" w:ascii="宋体" w:hAnsi="宋体" w:eastAsia="宋体" w:cs="宋体"/>
          <w:color w:val="auto"/>
          <w:spacing w:val="0"/>
          <w:sz w:val="24"/>
          <w:szCs w:val="24"/>
        </w:rPr>
        <w:t>签字）：</w:t>
      </w: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pacing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00" w:lineRule="exact"/>
        <w:ind w:firstLine="480" w:firstLineChars="200"/>
        <w:jc w:val="left"/>
        <w:textAlignment w:val="auto"/>
        <w:rPr>
          <w:rFonts w:hint="default"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联系电话：</w:t>
      </w:r>
    </w:p>
    <w:p>
      <w:pPr>
        <w:pStyle w:val="2"/>
        <w:keepNext w:val="0"/>
        <w:keepLines w:val="0"/>
        <w:pageBreakBefore w:val="0"/>
        <w:widowControl w:val="0"/>
        <w:kinsoku/>
        <w:overflowPunct/>
        <w:topLinePunct w:val="0"/>
        <w:autoSpaceDE/>
        <w:autoSpaceDN/>
        <w:bidi w:val="0"/>
        <w:adjustRightInd/>
        <w:snapToGrid/>
        <w:spacing w:line="400" w:lineRule="exact"/>
        <w:ind w:left="0" w:leftChars="0" w:firstLine="0" w:firstLineChars="0"/>
        <w:textAlignment w:val="auto"/>
      </w:pPr>
    </w:p>
    <w:p>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bCs/>
          <w:color w:val="auto"/>
          <w:spacing w:val="0"/>
          <w:sz w:val="40"/>
          <w:szCs w:val="40"/>
          <w:lang w:val="en-US" w:eastAsia="zh-CN"/>
        </w:rPr>
      </w:pPr>
      <w:r>
        <w:rPr>
          <w:rFonts w:hint="eastAsia" w:ascii="宋体" w:hAnsi="宋体" w:cs="宋体"/>
          <w:b/>
          <w:bCs/>
          <w:color w:val="auto"/>
          <w:spacing w:val="0"/>
          <w:sz w:val="40"/>
          <w:szCs w:val="40"/>
          <w:lang w:val="en-US" w:eastAsia="zh-CN"/>
        </w:rPr>
        <w:t>竞买保证金退付表</w:t>
      </w:r>
    </w:p>
    <w:p>
      <w:pPr>
        <w:pStyle w:val="2"/>
        <w:rPr>
          <w:rFonts w:hint="eastAsia"/>
          <w:lang w:val="en-US" w:eastAsia="zh-CN"/>
        </w:rPr>
      </w:pPr>
    </w:p>
    <w:tbl>
      <w:tblPr>
        <w:tblStyle w:val="5"/>
        <w:tblW w:w="9360" w:type="dxa"/>
        <w:jc w:val="center"/>
        <w:tblLayout w:type="fixed"/>
        <w:tblCellMar>
          <w:top w:w="0" w:type="dxa"/>
          <w:left w:w="0" w:type="dxa"/>
          <w:bottom w:w="0" w:type="dxa"/>
          <w:right w:w="0" w:type="dxa"/>
        </w:tblCellMar>
      </w:tblPr>
      <w:tblGrid>
        <w:gridCol w:w="1844"/>
        <w:gridCol w:w="2656"/>
        <w:gridCol w:w="1789"/>
        <w:gridCol w:w="3071"/>
      </w:tblGrid>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户名</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开户银行</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lang w:eastAsia="zh-CN"/>
              </w:rPr>
            </w:pPr>
            <w:r>
              <w:rPr>
                <w:rFonts w:hint="eastAsia" w:ascii="仿宋" w:hAnsi="仿宋" w:eastAsia="仿宋" w:cs="仿宋"/>
                <w:color w:val="000000"/>
                <w:sz w:val="24"/>
              </w:rPr>
              <w:t>开户帐号</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0" w:firstLineChars="0"/>
              <w:rPr>
                <w:rFonts w:hint="eastAsia"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佣金及费用是否在保证金中代扣</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right="420" w:firstLine="1920" w:firstLineChars="800"/>
              <w:rPr>
                <w:rFonts w:ascii="仿宋" w:hAnsi="仿宋" w:eastAsia="仿宋" w:cs="仿宋"/>
                <w:color w:val="000000"/>
                <w:sz w:val="24"/>
              </w:rPr>
            </w:pPr>
            <w:r>
              <w:rPr>
                <w:rFonts w:hint="eastAsia" w:ascii="仿宋" w:hAnsi="仿宋" w:eastAsia="仿宋" w:cs="仿宋"/>
                <w:color w:val="000000"/>
                <w:sz w:val="24"/>
                <w:lang w:val="en-US" w:eastAsia="zh-CN"/>
              </w:rPr>
              <w:t>是</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否</w:t>
            </w:r>
            <w:r>
              <w:rPr>
                <w:rFonts w:hint="eastAsia" w:ascii="仿宋" w:hAnsi="仿宋" w:eastAsia="仿宋" w:cs="仿宋"/>
                <w:color w:val="000000"/>
                <w:sz w:val="24"/>
                <w:lang w:val="en-US" w:eastAsia="zh-CN"/>
              </w:rPr>
              <w:sym w:font="Wingdings 2" w:char="00A3"/>
            </w:r>
            <w:r>
              <w:rPr>
                <w:rFonts w:hint="eastAsia" w:ascii="仿宋" w:hAnsi="仿宋" w:eastAsia="仿宋" w:cs="仿宋"/>
                <w:color w:val="000000"/>
                <w:sz w:val="24"/>
              </w:rPr>
              <w:t xml:space="preserve">                        </w:t>
            </w:r>
          </w:p>
        </w:tc>
      </w:tr>
      <w:tr>
        <w:tblPrEx>
          <w:tblCellMar>
            <w:top w:w="0" w:type="dxa"/>
            <w:left w:w="0" w:type="dxa"/>
            <w:bottom w:w="0" w:type="dxa"/>
            <w:right w:w="0" w:type="dxa"/>
          </w:tblCellMar>
        </w:tblPrEx>
        <w:trPr>
          <w:trHeight w:val="1884"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eastAsia" w:ascii="仿宋" w:hAnsi="仿宋" w:eastAsia="仿宋" w:cs="仿宋"/>
                <w:color w:val="000000"/>
                <w:sz w:val="24"/>
              </w:rPr>
            </w:pPr>
            <w:r>
              <w:rPr>
                <w:rFonts w:hint="eastAsia" w:ascii="仿宋" w:hAnsi="仿宋" w:eastAsia="仿宋" w:cs="仿宋"/>
                <w:color w:val="000000"/>
                <w:sz w:val="24"/>
              </w:rPr>
              <w:t>竞买人</w:t>
            </w:r>
          </w:p>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w:t>
            </w:r>
            <w:r>
              <w:rPr>
                <w:rFonts w:hint="eastAsia" w:ascii="仿宋" w:hAnsi="仿宋" w:eastAsia="仿宋" w:cs="仿宋"/>
                <w:color w:val="000000"/>
                <w:sz w:val="24"/>
                <w:lang w:val="en-US" w:eastAsia="zh-CN"/>
              </w:rPr>
              <w:t>签字/</w:t>
            </w:r>
            <w:r>
              <w:rPr>
                <w:rFonts w:hint="eastAsia" w:ascii="仿宋" w:hAnsi="仿宋" w:eastAsia="仿宋" w:cs="仿宋"/>
                <w:color w:val="000000"/>
                <w:sz w:val="24"/>
              </w:rPr>
              <w:t>盖章）</w:t>
            </w:r>
          </w:p>
        </w:tc>
        <w:tc>
          <w:tcPr>
            <w:tcW w:w="2656"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c>
          <w:tcPr>
            <w:tcW w:w="1789"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r>
              <w:rPr>
                <w:rFonts w:hint="eastAsia" w:ascii="仿宋" w:hAnsi="仿宋" w:eastAsia="仿宋" w:cs="仿宋"/>
                <w:color w:val="000000"/>
                <w:sz w:val="24"/>
              </w:rPr>
              <w:t xml:space="preserve"> 联系电话</w:t>
            </w:r>
          </w:p>
        </w:tc>
        <w:tc>
          <w:tcPr>
            <w:tcW w:w="3071"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ascii="仿宋" w:hAnsi="仿宋" w:eastAsia="仿宋" w:cs="仿宋"/>
                <w:color w:val="000000"/>
                <w:sz w:val="24"/>
              </w:rPr>
            </w:pPr>
          </w:p>
        </w:tc>
      </w:tr>
      <w:tr>
        <w:tblPrEx>
          <w:tblCellMar>
            <w:top w:w="0" w:type="dxa"/>
            <w:left w:w="0" w:type="dxa"/>
            <w:bottom w:w="0" w:type="dxa"/>
            <w:right w:w="0" w:type="dxa"/>
          </w:tblCellMar>
        </w:tblPrEx>
        <w:trPr>
          <w:trHeight w:val="850" w:hRule="atLeast"/>
          <w:jc w:val="center"/>
        </w:trPr>
        <w:tc>
          <w:tcPr>
            <w:tcW w:w="1844" w:type="dxa"/>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center"/>
              <w:rPr>
                <w:rFonts w:hint="default" w:ascii="仿宋" w:hAnsi="仿宋" w:eastAsia="仿宋" w:cs="仿宋"/>
                <w:color w:val="000000"/>
                <w:sz w:val="24"/>
                <w:lang w:val="en-US" w:eastAsia="zh-CN"/>
              </w:rPr>
            </w:pPr>
            <w:r>
              <w:rPr>
                <w:rFonts w:hint="eastAsia" w:ascii="仿宋" w:hAnsi="仿宋" w:eastAsia="仿宋" w:cs="仿宋"/>
                <w:color w:val="000000"/>
                <w:sz w:val="24"/>
                <w:lang w:val="en-US" w:eastAsia="zh-CN"/>
              </w:rPr>
              <w:t>其他说明</w:t>
            </w:r>
          </w:p>
        </w:tc>
        <w:tc>
          <w:tcPr>
            <w:tcW w:w="7516" w:type="dxa"/>
            <w:gridSpan w:val="3"/>
            <w:tcBorders>
              <w:top w:val="single" w:color="auto" w:sz="12" w:space="0"/>
              <w:left w:val="single" w:color="auto" w:sz="12" w:space="0"/>
              <w:bottom w:val="single" w:color="auto" w:sz="12" w:space="0"/>
              <w:right w:val="single" w:color="auto" w:sz="12" w:space="0"/>
            </w:tcBorders>
            <w:tcMar>
              <w:top w:w="14" w:type="dxa"/>
              <w:left w:w="14" w:type="dxa"/>
              <w:bottom w:w="0" w:type="dxa"/>
              <w:right w:w="14" w:type="dxa"/>
            </w:tcMar>
            <w:vAlign w:val="center"/>
          </w:tcPr>
          <w:p>
            <w:pPr>
              <w:spacing w:line="240" w:lineRule="auto"/>
              <w:ind w:firstLine="0" w:firstLineChars="0"/>
              <w:jc w:val="both"/>
              <w:rPr>
                <w:rFonts w:ascii="仿宋" w:hAnsi="仿宋" w:eastAsia="仿宋" w:cs="仿宋"/>
                <w:color w:val="000000"/>
                <w:sz w:val="24"/>
              </w:rPr>
            </w:pPr>
          </w:p>
        </w:tc>
      </w:tr>
      <w:tr>
        <w:tblPrEx>
          <w:tblCellMar>
            <w:top w:w="0" w:type="dxa"/>
            <w:left w:w="0" w:type="dxa"/>
            <w:bottom w:w="0" w:type="dxa"/>
            <w:right w:w="0" w:type="dxa"/>
          </w:tblCellMar>
        </w:tblPrEx>
        <w:trPr>
          <w:trHeight w:val="1041" w:hRule="atLeast"/>
          <w:jc w:val="center"/>
        </w:trPr>
        <w:tc>
          <w:tcPr>
            <w:tcW w:w="9360" w:type="dxa"/>
            <w:gridSpan w:val="4"/>
            <w:tcBorders>
              <w:top w:val="single" w:color="auto" w:sz="12" w:space="0"/>
              <w:left w:val="nil"/>
              <w:bottom w:val="nil"/>
              <w:right w:val="nil"/>
            </w:tcBorders>
            <w:tcMar>
              <w:top w:w="14" w:type="dxa"/>
              <w:left w:w="14" w:type="dxa"/>
              <w:bottom w:w="0" w:type="dxa"/>
              <w:right w:w="14" w:type="dxa"/>
            </w:tcMar>
            <w:vAlign w:val="center"/>
          </w:tcPr>
          <w:p>
            <w:pPr>
              <w:spacing w:line="240" w:lineRule="auto"/>
              <w:ind w:firstLine="0" w:firstLineChars="0"/>
              <w:jc w:val="both"/>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注意事项：1.退付表内容除签字以外，其他内容尽量机打，如手写务必填写清晰。</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sz w:val="24"/>
                <w:lang w:val="en-US" w:eastAsia="zh-CN"/>
              </w:rPr>
              <w:t>2.退保账户需与保证金交款账户相同。</w:t>
            </w:r>
          </w:p>
          <w:p>
            <w:pPr>
              <w:spacing w:line="240" w:lineRule="auto"/>
              <w:ind w:firstLine="1205" w:firstLineChars="500"/>
              <w:rPr>
                <w:rFonts w:hint="eastAsia" w:ascii="仿宋" w:hAnsi="仿宋" w:eastAsia="仿宋" w:cs="仿宋"/>
                <w:b/>
                <w:bCs/>
                <w:color w:val="000000"/>
                <w:sz w:val="24"/>
                <w:lang w:val="en-US" w:eastAsia="zh-CN"/>
              </w:rPr>
            </w:pPr>
            <w:r>
              <w:rPr>
                <w:rFonts w:hint="eastAsia" w:ascii="仿宋" w:hAnsi="仿宋" w:eastAsia="仿宋" w:cs="仿宋"/>
                <w:b/>
                <w:bCs/>
                <w:color w:val="000000"/>
                <w:kern w:val="2"/>
                <w:sz w:val="24"/>
                <w:szCs w:val="24"/>
                <w:lang w:val="en-US" w:eastAsia="zh-CN" w:bidi="ar-SA"/>
              </w:rPr>
              <w:t>3.</w:t>
            </w:r>
            <w:r>
              <w:rPr>
                <w:rFonts w:hint="eastAsia" w:ascii="仿宋" w:hAnsi="仿宋" w:eastAsia="仿宋" w:cs="仿宋"/>
                <w:b/>
                <w:bCs/>
                <w:color w:val="000000"/>
                <w:sz w:val="24"/>
                <w:lang w:val="en-US" w:eastAsia="zh-CN"/>
              </w:rPr>
              <w:t>开户银行需详细填写开户行信息。</w:t>
            </w:r>
          </w:p>
          <w:p>
            <w:pPr>
              <w:spacing w:line="240" w:lineRule="auto"/>
              <w:ind w:firstLine="4578" w:firstLineChars="1900"/>
              <w:jc w:val="both"/>
              <w:rPr>
                <w:rFonts w:hint="eastAsia" w:ascii="仿宋" w:hAnsi="仿宋" w:eastAsia="仿宋" w:cs="仿宋"/>
                <w:b/>
                <w:bCs/>
                <w:color w:val="000000"/>
                <w:sz w:val="24"/>
              </w:rPr>
            </w:pPr>
          </w:p>
          <w:p>
            <w:pPr>
              <w:spacing w:line="240" w:lineRule="auto"/>
              <w:ind w:firstLine="6987" w:firstLineChars="2900"/>
              <w:jc w:val="both"/>
              <w:rPr>
                <w:rFonts w:hint="eastAsia" w:ascii="仿宋" w:hAnsi="仿宋" w:eastAsia="仿宋" w:cs="仿宋"/>
                <w:b/>
                <w:bCs/>
                <w:color w:val="000000"/>
                <w:sz w:val="24"/>
                <w:szCs w:val="24"/>
              </w:rPr>
            </w:pPr>
            <w:r>
              <w:rPr>
                <w:rFonts w:hint="eastAsia" w:ascii="仿宋" w:hAnsi="仿宋" w:eastAsia="仿宋" w:cs="仿宋"/>
                <w:b/>
                <w:bCs/>
                <w:color w:val="000000"/>
                <w:sz w:val="24"/>
              </w:rPr>
              <w:t>年    月    日</w:t>
            </w:r>
          </w:p>
        </w:tc>
      </w:tr>
    </w:tbl>
    <w:p>
      <w:pPr>
        <w:pStyle w:val="2"/>
        <w:keepNext w:val="0"/>
        <w:keepLines w:val="0"/>
        <w:pageBreakBefore w:val="0"/>
        <w:widowControl w:val="0"/>
        <w:kinsoku/>
        <w:overflowPunct/>
        <w:topLinePunct w:val="0"/>
        <w:autoSpaceDE/>
        <w:autoSpaceDN/>
        <w:bidi w:val="0"/>
        <w:adjustRightInd/>
        <w:snapToGrid/>
        <w:spacing w:line="400" w:lineRule="exact"/>
        <w:textAlignment w:val="auto"/>
      </w:pPr>
    </w:p>
    <w:sectPr>
      <w:footerReference r:id="rId3" w:type="default"/>
      <w:footerReference r:id="rId4" w:type="even"/>
      <w:pgSz w:w="11906" w:h="16838"/>
      <w:pgMar w:top="1134" w:right="1134" w:bottom="1134" w:left="1134"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separate"/>
    </w:r>
    <w:r>
      <w:rPr>
        <w:rStyle w:val="7"/>
      </w:rPr>
      <w:t>2</w:t>
    </w:r>
    <w:r>
      <w:fldChar w:fldCharType="end"/>
    </w:r>
  </w:p>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fldChar w:fldCharType="begin"/>
    </w:r>
    <w:r>
      <w:rPr>
        <w:rStyle w:val="7"/>
      </w:rPr>
      <w:instrText xml:space="preserve">PAGE  </w:instrText>
    </w:r>
    <w:r>
      <w:fldChar w:fldCharType="end"/>
    </w:r>
  </w:p>
  <w:p>
    <w:pPr>
      <w:pStyle w:val="4"/>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GQ4NGM3NjE2ZWJlZjliYTY3ZWRmNGM1YWZhZTJlOTUifQ=="/>
    <w:docVar w:name="KSO_WPS_MARK_KEY" w:val="bf90f2b4-d2a1-411c-9945-bc66d48c6ae7"/>
  </w:docVars>
  <w:rsids>
    <w:rsidRoot w:val="52376143"/>
    <w:rsid w:val="040F3E66"/>
    <w:rsid w:val="0478637A"/>
    <w:rsid w:val="0AA277E2"/>
    <w:rsid w:val="0C697DB0"/>
    <w:rsid w:val="0D6C317E"/>
    <w:rsid w:val="13E961F5"/>
    <w:rsid w:val="152C0D1B"/>
    <w:rsid w:val="1B285AE1"/>
    <w:rsid w:val="1D7E7C3A"/>
    <w:rsid w:val="1E854FF8"/>
    <w:rsid w:val="246F68C9"/>
    <w:rsid w:val="305840C7"/>
    <w:rsid w:val="30FC03BB"/>
    <w:rsid w:val="3F383D76"/>
    <w:rsid w:val="40EB42EC"/>
    <w:rsid w:val="471825FE"/>
    <w:rsid w:val="4872256F"/>
    <w:rsid w:val="493D2DEC"/>
    <w:rsid w:val="4D902EEE"/>
    <w:rsid w:val="52376143"/>
    <w:rsid w:val="56AA23A1"/>
    <w:rsid w:val="577E200A"/>
    <w:rsid w:val="5D990B42"/>
    <w:rsid w:val="5DD76917"/>
    <w:rsid w:val="5EFD5F0A"/>
    <w:rsid w:val="6ACD70D8"/>
    <w:rsid w:val="6B71426E"/>
    <w:rsid w:val="6D3F0039"/>
    <w:rsid w:val="6FBB7E47"/>
    <w:rsid w:val="75F867B7"/>
    <w:rsid w:val="77502A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2"/>
    <w:basedOn w:val="1"/>
    <w:next w:val="1"/>
    <w:qFormat/>
    <w:uiPriority w:val="0"/>
    <w:pPr>
      <w:keepNext/>
      <w:keepLines/>
      <w:spacing w:before="200" w:after="200" w:line="360" w:lineRule="auto"/>
      <w:ind w:firstLine="880"/>
      <w:outlineLvl w:val="1"/>
    </w:pPr>
    <w:rPr>
      <w:rFonts w:ascii="Cambria" w:hAnsi="Cambria" w:eastAsia="宋体"/>
      <w:b/>
      <w:bCs/>
      <w:kern w:val="0"/>
      <w:szCs w:val="32"/>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2"/>
    <w:basedOn w:val="1"/>
    <w:qFormat/>
    <w:uiPriority w:val="0"/>
    <w:pPr>
      <w:spacing w:after="120" w:afterLines="0" w:afterAutospacing="0" w:line="480" w:lineRule="auto"/>
      <w:ind w:left="420" w:leftChars="200"/>
    </w:pPr>
  </w:style>
  <w:style w:type="paragraph" w:styleId="4">
    <w:name w:val="footer"/>
    <w:basedOn w:val="1"/>
    <w:qFormat/>
    <w:uiPriority w:val="0"/>
    <w:pPr>
      <w:tabs>
        <w:tab w:val="center" w:pos="4153"/>
        <w:tab w:val="right" w:pos="8306"/>
      </w:tabs>
      <w:snapToGrid w:val="0"/>
      <w:jc w:val="left"/>
    </w:pPr>
    <w:rPr>
      <w:sz w:val="18"/>
      <w:szCs w:val="18"/>
    </w:rPr>
  </w:style>
  <w:style w:type="character" w:styleId="7">
    <w:name w:val="page number"/>
    <w:basedOn w:val="6"/>
    <w:qFormat/>
    <w:uiPriority w:val="0"/>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2860</Words>
  <Characters>2953</Characters>
  <Lines>0</Lines>
  <Paragraphs>0</Paragraphs>
  <TotalTime>39</TotalTime>
  <ScaleCrop>false</ScaleCrop>
  <LinksUpToDate>false</LinksUpToDate>
  <CharactersWithSpaces>3012</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2024-12-09T06:26:00Z</dcterms:created>
  <dc:creator>极致者不凡</dc:creator>
  <cp:lastModifiedBy>极致者不凡</cp:lastModifiedBy>
  <cp:lastPrinted>2025-04-22T01:28:00Z</cp:lastPrinted>
  <dcterms:modified xsi:type="dcterms:W3CDTF">2025-05-21T01:53:14Z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85CFE9D4035344089CC0ED4ACBE49631_11</vt:lpwstr>
  </property>
</Properties>
</file>