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="宋体" w:hAnsi="宋体" w:eastAsia="宋体" w:cs="宋体"/>
          <w:b/>
          <w:bCs/>
          <w:color w:val="auto"/>
          <w:spacing w:val="0"/>
          <w:sz w:val="40"/>
          <w:szCs w:val="40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40"/>
          <w:szCs w:val="40"/>
          <w:lang w:val="en-US" w:eastAsia="zh-CN"/>
        </w:rPr>
        <w:t>拍 卖 规 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一、本规则依据《中华人民共和国拍卖法》《中华人民共和国民法典》等相关法律法规和“公开、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</w:rPr>
        <w:t>公平、公正、诚实信用”原则及价高者得规则制定。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textAlignment w:val="auto"/>
        <w:rPr>
          <w:rFonts w:hint="default" w:ascii="宋体" w:hAnsi="宋体" w:eastAsia="宋体" w:cs="宋体"/>
          <w:color w:val="auto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</w:rPr>
        <w:t>二、拍卖标的</w:t>
      </w:r>
      <w:r>
        <w:rPr>
          <w:rFonts w:hint="eastAsia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  <w:t>简介及参考价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textAlignment w:val="auto"/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  <w:t>标的位于</w:t>
      </w:r>
      <w:bookmarkStart w:id="0" w:name="OLE_LINK1"/>
      <w:r>
        <w:rPr>
          <w:rFonts w:hint="eastAsia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  <w:t>平原县文兴路西侧(星空观源小区)49幢1单元2层202室</w:t>
      </w:r>
      <w:bookmarkEnd w:id="0"/>
      <w:r>
        <w:rPr>
          <w:rFonts w:hint="eastAsia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  <w:t>，房屋总层数为8层，标的所在层数为2层，房屋结构为钢混，权利类型为国有建设用地使用权/房屋(构筑物)所有权，权利性质为出让/市场化商品房，用途为城镇住宅用地/住宅，共有宗地面积为 32476.74平方米/房屋建筑面积129.17平方米，储藏室面积为19.51平方米，车库面积为32.44平方米，使用期限至2083年10月30日止，共有情况为单独所有，权利人:平原县经纬测绘服务有限公司，权利证号:鲁(2022)平原县不动产权第0002917号。本次拍卖标的不包含房屋内家具、电器等设施设备。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u w:val="none"/>
          <w:lang w:val="en-US" w:eastAsia="zh-CN"/>
        </w:rPr>
        <w:t>拍卖底价：644000元，增价幅度：1000元。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本次拍卖采用网络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方式进行，竞买人登录资产交易网-资产交易竞价大厅（网址http://www.sdcqpm.com/）进行竞买报价。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加价幅度为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1000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  <w:lang w:val="en-US" w:eastAsia="zh-CN"/>
        </w:rPr>
        <w:t>元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除对底价应价外，各竞买人每次加价不得低于加价幅度。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自由竞价时长10分钟，限时竞价时长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</w:rPr>
        <w:t>分钟（即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60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</w:rPr>
        <w:t>秒）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限时报价期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内，如出现新的有效报价，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限时报价时长刷新，重新进入60秒倒计时，直至无人出价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三、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竞买人登记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（一）在参加拍卖会之前，竞买人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应交纳保证金并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签署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highlight w:val="none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规则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，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保证金金额为20000元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）竞买人交纳的保证金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为竞买人参与竞买的行为保证。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textAlignment w:val="auto"/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（三）保证金交款账户：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2" w:firstLineChars="200"/>
        <w:textAlignment w:val="auto"/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户名：山东国赢拍卖有限公司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2" w:firstLineChars="200"/>
        <w:textAlignment w:val="auto"/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开户行：威海市商业银行股份有限公司济南高新区支行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2" w:firstLineChars="200"/>
        <w:textAlignment w:val="auto"/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账号：817972401421009212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四、竞买人的声明与保证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竞买人了解并遵守《拍卖法》《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eastAsia="zh-CN"/>
        </w:rPr>
        <w:t>民法典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》等法律法规，认真阅读了本拍卖规则，严格履行本拍卖规则的有关约定和承诺。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（一）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竞买人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须承诺，在公告期间已自行对标的进行了全面了解，一经递交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拍卖规则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并交纳保证金后，即表明理解并接受本次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项目拍卖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的所有内容及程序，完全了解与认可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标的状况以及存在的瑕疵等一切内容，并自行承担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竞买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标的所带来的一切风险和后果；成为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买受人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后不得以不了解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标的为由退还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标的，否则将视为违约；非因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转让方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原因所引发的风险因素，由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买受人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 xml:space="preserve">自行承担。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textAlignment w:val="auto"/>
        <w:rPr>
          <w:rFonts w:hint="default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竞买人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须承诺，在被确定为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买受人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后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个工作日内与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转让方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签署《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成交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合同》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按照成交合同约定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一次性支付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成交价款</w:t>
      </w:r>
      <w:r>
        <w:rPr>
          <w:rFonts w:hint="default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）竞买人须承诺，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在被确定为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买受人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后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按照国家有关规定自行到相关部门办理标的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资产的权属变更登记手续，转让方给予必要协助和配合。拍卖标的权属变更登记过程中所涉及的相关税费，由双方依据法律规定各自承担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五、瑕疵声明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（一）拍卖人及工作人员对拍卖标的所作的介绍是对拍卖标的概括性描述，不构成对拍卖标的的任何担保。竞买人应自行认定拍卖标的有关材料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的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真实性并对自己的行为负责。拍卖人有权于拍卖会前修订《拍卖规则》。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二）本拍卖人不保证委托的标的不存在其他瑕疵，竞买人应认真、审慎地了解标的的实际情况、瑕疵及可能存在的瑕疵。竞买人竞价应谨慎，一经参拍，即表示自愿承担本次拍卖会拍卖标的的所有瑕疵责任，并自愿接受标的现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（三）本次拍卖标的成交价不包括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交易费用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及其他费用。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、拍卖成交后，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自被确定为买受人次日起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个工作日内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与拍卖人签订《拍卖成交确认书》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eastAsia="zh-CN"/>
        </w:rPr>
        <w:t>七、拍卖成交后</w:t>
      </w: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>，买受人应向本公司支付佣金，</w:t>
      </w:r>
      <w:r>
        <w:rPr>
          <w:rFonts w:hint="eastAsia" w:ascii="宋体" w:hAnsi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>佣金为成交价的1%</w:t>
      </w: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</w:pP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>八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  <w:t>、本拍卖人不负责该项目</w:t>
      </w: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>产权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  <w:t>的移交、监交工作。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九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、如买受人有下列行为之一的，即构成违约。买受人违约的，竞买保证金不予退还，买受人不得参与本标的的再行拍卖。本拍卖标的再行拍卖，原买受人应当支付第一次拍卖中本人及委托人应当支付的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交易费用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。再行拍卖的成交价低于原拍卖成交价的，原买受人应当补足差额。同时，拍卖人有权对未按本规则履行约定义务的买受人诉诸法律，要求其履行约定义务，并赔偿拍卖人因其违约造成的一切损失。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（一）买受人提供虚假、失实材料的；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（二）买受人串通或干扰其他竞买人公平竞争等扰乱正常秩序的；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（三）买受人拒绝在《拍卖成交确认书》上签字的；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（四）买受人拒绝或逾期签署《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成交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合同》的；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（五）买受人在规定期限内不办理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产权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交割等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有关手续的；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）买受人逾期未履行相应付款义务的。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textAlignment w:val="auto"/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十、本次拍卖采用网络竞价方式。通过“资产交易网-资产交易竞价大厅（网址http://www.sdcqpm.com/）”竞价。竞买人应于竞价前注册完毕网络竞价账号。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textAlignment w:val="auto"/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（1）竞买人应自行注册网络拍卖账号。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textAlignment w:val="auto"/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（2）网络竞价过程中，如遇不可抗力，包括但不限于网络不通畅、竞价系统出现故障、黑客攻击等事由，出现信息中断、竞价时间不完整、图文变异、系统瘫痪、竞买人无法在网上出价等情形，导致拍卖会无法正常进行，拍卖人有权延迟、暂停或另行举行拍卖会。若拍卖记录可以恢复的，重新启动竞价后，起始价为网络中断时的最高有效报价；若竞价记录无法恢复的，底价为标的起始价。如竞买人自身操作问题导致无法参加竞价的，由竞买人自行负责。通过资产拍卖竞价系统进行网络竞价的竞买人，承诺已经对可能发生的故障有充分准备，并放弃因此类故障要求拍卖人承担任何赔偿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textAlignment w:val="auto"/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（3）竞买人应对自己的账号和密码进行保密，在本系统上以竞买人的帐号和密码登录后进行的操作，均被视为竞买人的行为，竞买人应当对以其帐号进行的所有活动和事件负法律责任。竞买人报价金额的币种仅限为人民币，报价前须仔细核对报价金额及单位，确认无误后方可出价。竞买人报价一经确认，竞价系统均有记录，不得撤回或撤销。竞买人不得扰乱竞价秩序，更不得恶意串通，影响或操纵其他竞买人竞价，如有发现将取消其竞买资格，没收竞买保证金，并追究其相应的法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textAlignment w:val="auto"/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十一、竞买人一经在本文件上签字即表明同意遵循本规则之规定，并对自己竞买行为负责，不得影响他人竞买秩序。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十二、本《拍卖规则》复印件、扫描件与原价具有同样法律效力。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righ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山东国赢拍卖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righ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 xml:space="preserve">   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2025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竞买人已被告知并完全接受上述《拍卖规则》之规定。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竞买人（盖章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/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签字）：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default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联系电话：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</w:pPr>
    </w:p>
    <w:p>
      <w:pPr>
        <w:rPr>
          <w:rFonts w:hint="eastAsia" w:ascii="宋体" w:hAnsi="宋体" w:cs="宋体"/>
          <w:b/>
          <w:bCs/>
          <w:color w:val="auto"/>
          <w:spacing w:val="0"/>
          <w:sz w:val="40"/>
          <w:szCs w:val="40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40"/>
          <w:szCs w:val="40"/>
          <w:lang w:val="en-US" w:eastAsia="zh-CN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宋体" w:hAnsi="宋体" w:cs="宋体"/>
          <w:b/>
          <w:bCs/>
          <w:color w:val="auto"/>
          <w:spacing w:val="0"/>
          <w:sz w:val="40"/>
          <w:szCs w:val="40"/>
          <w:lang w:val="en-US" w:eastAsia="zh-CN"/>
        </w:rPr>
      </w:pPr>
      <w:bookmarkStart w:id="1" w:name="_GoBack"/>
      <w:bookmarkEnd w:id="1"/>
      <w:r>
        <w:rPr>
          <w:rFonts w:hint="eastAsia" w:ascii="宋体" w:hAnsi="宋体" w:cs="宋体"/>
          <w:b/>
          <w:bCs/>
          <w:color w:val="auto"/>
          <w:spacing w:val="0"/>
          <w:sz w:val="40"/>
          <w:szCs w:val="40"/>
          <w:lang w:val="en-US" w:eastAsia="zh-CN"/>
        </w:rPr>
        <w:t>竞买保证金退付表</w:t>
      </w:r>
    </w:p>
    <w:p>
      <w:pPr>
        <w:pStyle w:val="2"/>
        <w:rPr>
          <w:rFonts w:hint="eastAsia"/>
          <w:lang w:val="en-US" w:eastAsia="zh-CN"/>
        </w:rPr>
      </w:pPr>
    </w:p>
    <w:tbl>
      <w:tblPr>
        <w:tblStyle w:val="6"/>
        <w:tblW w:w="9360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44"/>
        <w:gridCol w:w="2656"/>
        <w:gridCol w:w="1789"/>
        <w:gridCol w:w="307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1844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仿宋" w:hAnsi="仿宋" w:eastAsia="仿宋" w:cs="仿宋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lang w:val="en-US" w:eastAsia="zh-CN"/>
              </w:rPr>
              <w:t>户名</w:t>
            </w:r>
          </w:p>
        </w:tc>
        <w:tc>
          <w:tcPr>
            <w:tcW w:w="7516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right="420" w:firstLine="0" w:firstLineChars="0"/>
              <w:jc w:val="both"/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1844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开户银行</w:t>
            </w:r>
          </w:p>
        </w:tc>
        <w:tc>
          <w:tcPr>
            <w:tcW w:w="7516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right="420" w:firstLine="0" w:firstLineChars="0"/>
              <w:jc w:val="both"/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1844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开户帐号</w:t>
            </w:r>
          </w:p>
        </w:tc>
        <w:tc>
          <w:tcPr>
            <w:tcW w:w="7516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right="420" w:firstLine="0" w:firstLineChars="0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1844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仿宋" w:hAnsi="仿宋" w:eastAsia="仿宋" w:cs="仿宋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lang w:val="en-US" w:eastAsia="zh-CN"/>
              </w:rPr>
              <w:t>佣金及费用是否在保证金中代扣</w:t>
            </w:r>
          </w:p>
        </w:tc>
        <w:tc>
          <w:tcPr>
            <w:tcW w:w="7516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right="420" w:firstLine="1920" w:firstLineChars="800"/>
              <w:rPr>
                <w:rFonts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lang w:val="en-US" w:eastAsia="zh-CN"/>
              </w:rPr>
              <w:t>是</w:t>
            </w:r>
            <w:r>
              <w:rPr>
                <w:rFonts w:hint="eastAsia" w:ascii="仿宋" w:hAnsi="仿宋" w:eastAsia="仿宋" w:cs="仿宋"/>
                <w:color w:val="000000"/>
                <w:sz w:val="24"/>
                <w:lang w:val="en-US" w:eastAsia="zh-CN"/>
              </w:rPr>
              <w:sym w:font="Wingdings 2" w:char="0052"/>
            </w:r>
            <w:r>
              <w:rPr>
                <w:rFonts w:hint="eastAsia" w:ascii="仿宋" w:hAnsi="仿宋" w:eastAsia="仿宋" w:cs="仿宋"/>
                <w:color w:val="000000"/>
                <w:sz w:val="24"/>
              </w:rPr>
              <w:t xml:space="preserve">          </w:t>
            </w:r>
            <w:r>
              <w:rPr>
                <w:rFonts w:hint="eastAsia" w:ascii="仿宋" w:hAnsi="仿宋" w:eastAsia="仿宋" w:cs="仿宋"/>
                <w:color w:val="000000"/>
                <w:sz w:val="24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color w:val="000000"/>
                <w:sz w:val="24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/>
                <w:sz w:val="24"/>
                <w:lang w:val="en-US" w:eastAsia="zh-CN"/>
              </w:rPr>
              <w:t>否</w:t>
            </w:r>
            <w:r>
              <w:rPr>
                <w:rFonts w:hint="eastAsia" w:ascii="仿宋" w:hAnsi="仿宋" w:eastAsia="仿宋" w:cs="仿宋"/>
                <w:color w:val="000000"/>
                <w:sz w:val="24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color w:val="000000"/>
                <w:sz w:val="24"/>
              </w:rPr>
              <w:t xml:space="preserve">                       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4" w:hRule="atLeast"/>
          <w:jc w:val="center"/>
        </w:trPr>
        <w:tc>
          <w:tcPr>
            <w:tcW w:w="1844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竞买人</w:t>
            </w:r>
          </w:p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（</w:t>
            </w:r>
            <w:r>
              <w:rPr>
                <w:rFonts w:hint="eastAsia" w:ascii="仿宋" w:hAnsi="仿宋" w:eastAsia="仿宋" w:cs="仿宋"/>
                <w:color w:val="000000"/>
                <w:sz w:val="24"/>
                <w:lang w:val="en-US" w:eastAsia="zh-CN"/>
              </w:rPr>
              <w:t>签字/</w:t>
            </w:r>
            <w:r>
              <w:rPr>
                <w:rFonts w:hint="eastAsia" w:ascii="仿宋" w:hAnsi="仿宋" w:eastAsia="仿宋" w:cs="仿宋"/>
                <w:color w:val="000000"/>
                <w:sz w:val="24"/>
              </w:rPr>
              <w:t>盖章）</w:t>
            </w:r>
          </w:p>
        </w:tc>
        <w:tc>
          <w:tcPr>
            <w:tcW w:w="265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1789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 xml:space="preserve"> 联系电话</w:t>
            </w:r>
          </w:p>
        </w:tc>
        <w:tc>
          <w:tcPr>
            <w:tcW w:w="3071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1844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仿宋" w:hAnsi="仿宋" w:eastAsia="仿宋" w:cs="仿宋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lang w:val="en-US" w:eastAsia="zh-CN"/>
              </w:rPr>
              <w:t>其他说明</w:t>
            </w:r>
          </w:p>
        </w:tc>
        <w:tc>
          <w:tcPr>
            <w:tcW w:w="7516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both"/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1" w:hRule="atLeast"/>
          <w:jc w:val="center"/>
        </w:trPr>
        <w:tc>
          <w:tcPr>
            <w:tcW w:w="9360" w:type="dxa"/>
            <w:gridSpan w:val="4"/>
            <w:tcBorders>
              <w:top w:val="single" w:color="auto" w:sz="12" w:space="0"/>
              <w:left w:val="nil"/>
              <w:bottom w:val="nil"/>
              <w:right w:val="nil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both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lang w:val="en-US" w:eastAsia="zh-CN"/>
              </w:rPr>
              <w:t>注意事项：1.退付表内容除签字以外，其他内容尽量机打，如手写务必填写清晰。</w:t>
            </w:r>
          </w:p>
          <w:p>
            <w:pPr>
              <w:spacing w:line="240" w:lineRule="auto"/>
              <w:ind w:firstLine="1205" w:firstLineChars="500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lang w:val="en-US" w:eastAsia="zh-CN"/>
              </w:rPr>
              <w:t>2.退保账户需与保证金交款账户相同。</w:t>
            </w:r>
          </w:p>
          <w:p>
            <w:pPr>
              <w:spacing w:line="240" w:lineRule="auto"/>
              <w:ind w:firstLine="1205" w:firstLineChars="500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3.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lang w:val="en-US" w:eastAsia="zh-CN"/>
              </w:rPr>
              <w:t>开户银行需详细填写开户行信息。</w:t>
            </w:r>
          </w:p>
          <w:p>
            <w:pPr>
              <w:spacing w:line="240" w:lineRule="auto"/>
              <w:ind w:firstLine="4578" w:firstLineChars="1900"/>
              <w:jc w:val="both"/>
              <w:rPr>
                <w:rFonts w:hint="eastAsia" w:ascii="仿宋" w:hAnsi="仿宋" w:eastAsia="仿宋" w:cs="仿宋"/>
                <w:b/>
                <w:bCs/>
                <w:color w:val="000000"/>
                <w:sz w:val="24"/>
              </w:rPr>
            </w:pPr>
          </w:p>
          <w:p>
            <w:pPr>
              <w:spacing w:line="240" w:lineRule="auto"/>
              <w:ind w:firstLine="6987" w:firstLineChars="2900"/>
              <w:jc w:val="both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</w:rPr>
              <w:t>年    月    日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20" w:firstLineChars="200"/>
        <w:jc w:val="left"/>
        <w:textAlignment w:val="auto"/>
      </w:pPr>
    </w:p>
    <w:sectPr>
      <w:footerReference r:id="rId3" w:type="default"/>
      <w:footerReference r:id="rId4" w:type="even"/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8"/>
      </w:rPr>
    </w:pPr>
    <w:r>
      <w:fldChar w:fldCharType="begin"/>
    </w:r>
    <w:r>
      <w:rPr>
        <w:rStyle w:val="8"/>
      </w:rPr>
      <w:instrText xml:space="preserve">PAGE  </w:instrText>
    </w:r>
    <w:r>
      <w:fldChar w:fldCharType="separate"/>
    </w:r>
    <w:r>
      <w:rPr>
        <w:rStyle w:val="8"/>
      </w:rPr>
      <w:t>2</w:t>
    </w:r>
    <w:r>
      <w:fldChar w:fldCharType="end"/>
    </w:r>
  </w:p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8"/>
      </w:rPr>
    </w:pPr>
    <w:r>
      <w:fldChar w:fldCharType="begin"/>
    </w:r>
    <w:r>
      <w:rPr>
        <w:rStyle w:val="8"/>
      </w:rPr>
      <w:instrText xml:space="preserve">PAGE  </w:instrText>
    </w:r>
    <w:r>
      <w:fldChar w:fldCharType="end"/>
    </w: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Q4NGM3NjE2ZWJlZjliYTY3ZWRmNGM1YWZhZTJlOTUifQ=="/>
    <w:docVar w:name="KSO_WPS_MARK_KEY" w:val="6fe7733d-cd1f-45e2-98bc-bf8b315d4474"/>
  </w:docVars>
  <w:rsids>
    <w:rsidRoot w:val="00000000"/>
    <w:rsid w:val="019A5766"/>
    <w:rsid w:val="03CA7149"/>
    <w:rsid w:val="049423A0"/>
    <w:rsid w:val="04EB290D"/>
    <w:rsid w:val="07EE3D22"/>
    <w:rsid w:val="0F611CAA"/>
    <w:rsid w:val="10790B99"/>
    <w:rsid w:val="10C16457"/>
    <w:rsid w:val="11515ABE"/>
    <w:rsid w:val="141352AC"/>
    <w:rsid w:val="14337956"/>
    <w:rsid w:val="143B4777"/>
    <w:rsid w:val="16EB23F2"/>
    <w:rsid w:val="19FE2EFD"/>
    <w:rsid w:val="1DA44190"/>
    <w:rsid w:val="1DBA4DDC"/>
    <w:rsid w:val="1EC65D3D"/>
    <w:rsid w:val="1FB8661D"/>
    <w:rsid w:val="1FCE3F40"/>
    <w:rsid w:val="265E0AC9"/>
    <w:rsid w:val="27076EF2"/>
    <w:rsid w:val="27404587"/>
    <w:rsid w:val="291D3AC2"/>
    <w:rsid w:val="2A4915D0"/>
    <w:rsid w:val="2B805AC4"/>
    <w:rsid w:val="2C6D44D6"/>
    <w:rsid w:val="2C9E745D"/>
    <w:rsid w:val="2E82041C"/>
    <w:rsid w:val="2EDA313F"/>
    <w:rsid w:val="33DF222B"/>
    <w:rsid w:val="343B2B2C"/>
    <w:rsid w:val="37742C9A"/>
    <w:rsid w:val="37922808"/>
    <w:rsid w:val="380858DA"/>
    <w:rsid w:val="387758ED"/>
    <w:rsid w:val="39F31EAB"/>
    <w:rsid w:val="3DCE0312"/>
    <w:rsid w:val="410D4CAE"/>
    <w:rsid w:val="4227255A"/>
    <w:rsid w:val="42B65091"/>
    <w:rsid w:val="449D6A65"/>
    <w:rsid w:val="48B05E96"/>
    <w:rsid w:val="4AE8264A"/>
    <w:rsid w:val="4BF30464"/>
    <w:rsid w:val="4E152604"/>
    <w:rsid w:val="518F1B39"/>
    <w:rsid w:val="56E94004"/>
    <w:rsid w:val="58435D5D"/>
    <w:rsid w:val="588926FA"/>
    <w:rsid w:val="58BC54DF"/>
    <w:rsid w:val="595014CE"/>
    <w:rsid w:val="5AAB75B9"/>
    <w:rsid w:val="5C105BD9"/>
    <w:rsid w:val="604D0A6E"/>
    <w:rsid w:val="608D231E"/>
    <w:rsid w:val="61C80E16"/>
    <w:rsid w:val="623C1BF7"/>
    <w:rsid w:val="631F6D97"/>
    <w:rsid w:val="64D70FAB"/>
    <w:rsid w:val="68EE62A6"/>
    <w:rsid w:val="69C34DAA"/>
    <w:rsid w:val="69E17ED7"/>
    <w:rsid w:val="6AE402A7"/>
    <w:rsid w:val="6C661056"/>
    <w:rsid w:val="6CE46243"/>
    <w:rsid w:val="6D7E0B5E"/>
    <w:rsid w:val="6D8C0EB8"/>
    <w:rsid w:val="6E195086"/>
    <w:rsid w:val="6E9B1C81"/>
    <w:rsid w:val="73960C88"/>
    <w:rsid w:val="76B33626"/>
    <w:rsid w:val="7B673C9F"/>
    <w:rsid w:val="7C552320"/>
    <w:rsid w:val="7DB12889"/>
    <w:rsid w:val="7DF945D6"/>
    <w:rsid w:val="7F317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spacing w:after="120" w:afterLines="0" w:afterAutospacing="0" w:line="480" w:lineRule="auto"/>
      <w:ind w:left="420" w:leftChars="2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page number"/>
    <w:basedOn w:val="7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2456</Words>
  <Characters>2580</Characters>
  <Lines>0</Lines>
  <Paragraphs>0</Paragraphs>
  <TotalTime>8</TotalTime>
  <ScaleCrop>false</ScaleCrop>
  <LinksUpToDate>false</LinksUpToDate>
  <CharactersWithSpaces>2635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2021-10-21T00:51:00Z</dcterms:created>
  <dc:creator>Lenovo</dc:creator>
  <cp:lastModifiedBy>极致者不凡</cp:lastModifiedBy>
  <dcterms:modified xsi:type="dcterms:W3CDTF">2025-05-09T01:52:48Z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CADD1619C820473589F1F59684D14271</vt:lpwstr>
  </property>
</Properties>
</file>