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泰山财产保险股份有限公司所属32辆查勘车拍卖项目。本次项目共分为</w:t>
      </w:r>
      <w:r>
        <w:rPr>
          <w:rFonts w:hint="eastAsia" w:ascii="宋体" w:hAnsi="宋体" w:cs="宋体"/>
          <w:color w:val="auto"/>
          <w:spacing w:val="0"/>
          <w:sz w:val="24"/>
          <w:szCs w:val="24"/>
          <w:u w:val="none"/>
          <w:lang w:val="en-US" w:eastAsia="zh-CN"/>
        </w:rPr>
        <w:t>27</w:t>
      </w:r>
      <w:r>
        <w:rPr>
          <w:rFonts w:hint="eastAsia" w:ascii="宋体" w:hAnsi="宋体" w:eastAsia="宋体" w:cs="宋体"/>
          <w:color w:val="auto"/>
          <w:spacing w:val="0"/>
          <w:sz w:val="24"/>
          <w:szCs w:val="24"/>
          <w:u w:val="none"/>
          <w:lang w:val="en-US" w:eastAsia="zh-CN"/>
        </w:rPr>
        <w:t>个子标的，按顺序拍卖。</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200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除对底价应价外，各竞买人每次加价不得低于加价幅度。竞价过程由多个连续报价周期组成，每个报价周期为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。在每个报价周期内，如出现新的有效报价，则进入新的报价周期；在一个报价周期内如未出现新的有效报价，则当前有效报价方成为本次拍卖活动的</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保证金金额为2000元/标的</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之日起5个工作日内与转让方签署《资产交易合同》，并在《资产交易合同》签订之日起5个工作日内，将交易价款和交易费一次性支付至山东国赢拍卖有限公司指定账户（以到账为准）。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）竞买人须承诺，同意在在《资产交易合同》签订之日起5个工作日内，与转让方办理标的资产及相关权属证明文件的交接手续，并于交接后10个工作日内自行办理完成标的资产的权属变更登记手续。</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）竞买人须承诺，自行办理车辆过户过程中涉及的保险及年审等手续，并承担由此产生的所有费用（含补交的费用）。具体费用情况须由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至相关单位自行查询。</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）竞买人须承诺，已充分了解标的资产的情况，同意交易完成后在办理标的资产的过户过程中，转让方仅以提供现有资料为其应尽的协助配合义务，其他事宜均应由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办理，转让方不承担标的资产过户不能的法律风险。如若因政府相关部门或其他不可归咎于转让方的因素导致标的资产完成权属变更的日期过于迟延，</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不得向转让方主张承担未履行协助配合义务的违约责任。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）竞买人须承诺，在公告期间已自行对标的资产进行了现场考察并全面了解，一经递交</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申请并交纳保证金后，即表明理解并接受本次资产转让的所有内容及程序，完全了解与认可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）车辆必须过户，过户地不限，</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须自行了解迁入地车辆限购及指标管理政策，如成交后不能办理过户的由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承担一切损失与责任。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）标的车辆移交后车辆发生的一切违章、违法、交通事故、意外事故等，由此产生的经济损失及法律纠纷由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自行承担。为完成标的车辆移交涉及的一切费用由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）如车辆成交后年检、保险过期由买受人自行办理，费用自理。保险不支持变更、过户。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）标的车辆车牌号码不在转让范围内。（车辆不带指标转让。）</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其他事项详见鲁卓信评报字[2024]第1188号《资产评估报告》。</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，买受人应向本公司支付佣金，佣金为成交价的5%；拍卖成交后买受人需支付评估费300元/辆，评估费由本公司代为收取</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pStyle w:val="2"/>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bookmarkStart w:id="0" w:name="_GoBack"/>
      <w:bookmarkEnd w:id="0"/>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wordWrap w:val="0"/>
        <w:spacing w:line="360" w:lineRule="auto"/>
        <w:ind w:firstLine="0" w:firstLineChars="0"/>
        <w:jc w:val="left"/>
        <w:rPr>
          <w:rFonts w:hint="eastAsia" w:ascii="仿宋" w:hAnsi="仿宋" w:eastAsia="仿宋" w:cs="仿宋"/>
          <w:color w:val="000000"/>
          <w:sz w:val="24"/>
        </w:rPr>
      </w:pPr>
    </w:p>
    <w:p>
      <w:pPr>
        <w:pStyle w:val="2"/>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282E62"/>
    <w:rsid w:val="305840C7"/>
    <w:rsid w:val="40EB42EC"/>
    <w:rsid w:val="415D7830"/>
    <w:rsid w:val="52376143"/>
    <w:rsid w:val="5EFC68C8"/>
    <w:rsid w:val="701F58F4"/>
    <w:rsid w:val="70C60851"/>
    <w:rsid w:val="76BE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3097</Words>
  <Characters>3178</Characters>
  <Lines>0</Lines>
  <Paragraphs>0</Paragraphs>
  <TotalTime>0</TotalTime>
  <ScaleCrop>false</ScaleCrop>
  <LinksUpToDate>false</LinksUpToDate>
  <CharactersWithSpaces>3239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2025-04-09T06:25:52Z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