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泰山财产保险股份有限公司所属32辆查勘车拍卖项目。本次项目共分为32个子标的，按顺序拍卖。</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200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除对底价应价外，各竞买人每次加价不得低于加价幅度。竞价过程由多个连续报价周期组成，每个报价周期为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。在每个报价周期内，如出现新的有效报价，则进入新的报价周期；在一个报价周期内如未出现新的有效报价，则当前有效报价方成为本次拍卖活动的</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标的1竞价结束后，标的2开始竞价，以此类推。</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保证金金额为2000元/标的</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开户行：浙商银行股份有限公司济南分行</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账号：4510000010120100700492</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之日起5个工作日内与转让方签署《资产交易合同》，并在《资产交易合同》签订之日起5个工作日内，将交易价款和交易费一次性支付至山东国赢拍卖有限公司指定账户（以到账为准）。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）竞买人须承诺，同意在在《资产交易合同》签订之日起5个工作日内，与转让方办理标的资产及相关权属证明文件的交接手续，并于交接后10个工作日内自行办理完成标的资产的权属变更登记手续。</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后5个工作日内将全部交易价款划转至转让方指定账户。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）竞买人须承诺，自行办理车辆过户过程中涉及的保险及年审等手续，并承担由此产生的所有费用（含补交的费用）。具体费用情况须由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至相关单位自行查询。</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）竞买人须承诺，已充分了解标的资产的情况，同意交易完成后在办理标的资产的过户过程中，转让方仅以提供现有资料为其应尽的协助配合义务，其他事宜均应由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办理，转让方不承担标的资产过户不能的法律风险。如若因政府相关部门或其他不可归咎于转让方的因素导致标的资产完成权属变更的日期过于迟延，</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不得向转让方主张承担未履行协助配合义务的违约责任。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）竞买人须承诺，在公告期间已自行对标的资产进行了现场考察并全面了解，一经递交</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申请并交纳保证金后，即表明理解并接受本次资产转让的所有内容及程序，完全了解与认可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车辆均按现场展示的状况及状态进行现状转让和交接，转让方对车辆所作出的说明及相关资料均是对标的所作的参考性说明，不作为转让方对车辆品质的任何担保，也不作为车辆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）车辆必须过户，过户地不限，</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须自行了解迁入地车辆限购及指标管理政策，如成交后不能办理过户的由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承担一切损失与责任。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）标的车辆移交后车辆发生的一切违章、违法、交通事故、意外事故等，由此产生的经济损失及法律纠纷由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自行承担。为完成标的车辆移交涉及的一切费用由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自理。</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）如车辆成交后年检、保险过期由买受人自行办理，费用自理。保险不支持变更、过户。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）标的车辆车牌号码不在转让范围内。（车辆不带指标转让。）</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其他事项详见鲁卓信评报字[2024]第1188号《资产评估报告》。</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，买受人应向本公司支付佣金，佣金为成交价的5%；拍卖成交后买受人需支付评估费300元/辆，评估费由本公司代为收取</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pStyle w:val="2"/>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3</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14</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wordWrap w:val="0"/>
        <w:spacing w:line="360" w:lineRule="auto"/>
        <w:ind w:firstLine="0" w:firstLineChars="0"/>
        <w:jc w:val="left"/>
        <w:rPr>
          <w:rFonts w:hint="eastAsia" w:ascii="仿宋" w:hAnsi="仿宋" w:eastAsia="仿宋" w:cs="仿宋"/>
          <w:color w:val="000000"/>
          <w:sz w:val="24"/>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bookmarkStart w:id="0" w:name="_GoBack"/>
            <w:bookmarkEnd w:id="0"/>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pStyle w:val="2"/>
              <w:tabs>
                <w:tab w:val="left" w:pos="583"/>
              </w:tabs>
              <w:ind w:firstLine="241" w:firstLineChars="100"/>
              <w:rPr>
                <w:rFonts w:hint="default"/>
                <w:b/>
                <w:bCs/>
                <w:lang w:val="en-US" w:eastAsia="zh-CN"/>
              </w:rPr>
            </w:pPr>
            <w:r>
              <w:rPr>
                <w:rFonts w:hint="eastAsia" w:ascii="仿宋" w:hAnsi="仿宋" w:eastAsia="仿宋" w:cs="仿宋"/>
                <w:b/>
                <w:bCs/>
                <w:color w:val="000000"/>
                <w:sz w:val="24"/>
                <w:lang w:val="en-US" w:eastAsia="zh-CN"/>
              </w:rPr>
              <w:tab/>
              <w:t xml:space="preserve">   2.开户银行需详细填写开户行信息。</w:t>
            </w:r>
          </w:p>
          <w:p>
            <w:pPr>
              <w:spacing w:line="240" w:lineRule="auto"/>
              <w:ind w:firstLine="0" w:firstLineChars="0"/>
              <w:jc w:val="right"/>
              <w:rPr>
                <w:rFonts w:ascii="仿宋" w:hAnsi="仿宋" w:eastAsia="仿宋" w:cs="仿宋"/>
                <w:color w:val="000000"/>
                <w:sz w:val="24"/>
                <w:szCs w:val="24"/>
              </w:rPr>
            </w:pPr>
            <w:r>
              <w:rPr>
                <w:rFonts w:hint="eastAsia" w:ascii="仿宋" w:hAnsi="仿宋" w:eastAsia="仿宋" w:cs="仿宋"/>
                <w:color w:val="000000"/>
                <w:sz w:val="24"/>
              </w:rPr>
              <w:t>年    月    日</w:t>
            </w:r>
          </w:p>
        </w:tc>
      </w:tr>
    </w:tbl>
    <w:p>
      <w:pPr>
        <w:pStyle w:val="2"/>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305840C7"/>
    <w:rsid w:val="40EB42EC"/>
    <w:rsid w:val="415D7830"/>
    <w:rsid w:val="52376143"/>
    <w:rsid w:val="76BE3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3032</Words>
  <Characters>3119</Characters>
  <Lines>0</Lines>
  <Paragraphs>0</Paragraphs>
  <TotalTime>12</TotalTime>
  <ScaleCrop>false</ScaleCrop>
  <LinksUpToDate>false</LinksUpToDate>
  <CharactersWithSpaces>3172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2025-03-11T06:56:23Z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