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武城县综合行政执法局所属报废车辆一宗拍卖项目。本次项目</w:t>
      </w:r>
      <w:r>
        <w:rPr>
          <w:rFonts w:hint="eastAsia" w:ascii="宋体" w:hAnsi="宋体" w:cs="宋体"/>
          <w:color w:val="auto"/>
          <w:spacing w:val="0"/>
          <w:sz w:val="24"/>
          <w:szCs w:val="24"/>
          <w:u w:val="none"/>
          <w:lang w:val="en-US" w:eastAsia="zh-CN"/>
        </w:rPr>
        <w:t>整体</w:t>
      </w:r>
      <w:r>
        <w:rPr>
          <w:rFonts w:hint="eastAsia" w:ascii="宋体" w:hAnsi="宋体" w:eastAsia="宋体" w:cs="宋体"/>
          <w:color w:val="auto"/>
          <w:spacing w:val="0"/>
          <w:sz w:val="24"/>
          <w:szCs w:val="24"/>
          <w:u w:val="none"/>
          <w:lang w:val="en-US" w:eastAsia="zh-CN"/>
        </w:rPr>
        <w:t>拍卖</w:t>
      </w:r>
      <w:r>
        <w:rPr>
          <w:rFonts w:hint="eastAsia" w:ascii="宋体" w:hAnsi="宋体" w:cs="宋体"/>
          <w:color w:val="auto"/>
          <w:spacing w:val="0"/>
          <w:sz w:val="24"/>
          <w:szCs w:val="24"/>
          <w:u w:val="none"/>
          <w:lang w:val="en-US" w:eastAsia="zh-CN"/>
        </w:rPr>
        <w:t>，起拍价：175000元</w:t>
      </w:r>
      <w:r>
        <w:rPr>
          <w:rFonts w:hint="eastAsia" w:ascii="宋体" w:hAnsi="宋体" w:eastAsia="宋体" w:cs="宋体"/>
          <w:color w:val="auto"/>
          <w:spacing w:val="0"/>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竞价开始时间2025年2月19日上午9时30分，自由竞价时长10分钟，限时竞价时长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保证金金额为10000元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开户行：浙商银行股份有限公司济南分行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账号：4510000010120100700492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）竞买人须承诺，同意在在《资产交易合同》签订之日起</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个工作日内，与转让方办理标的资产及相关权属证明文件的</w:t>
      </w:r>
      <w:r>
        <w:rPr>
          <w:rFonts w:hint="eastAsia" w:ascii="宋体" w:hAnsi="宋体" w:cs="宋体"/>
          <w:color w:val="auto"/>
          <w:spacing w:val="0"/>
          <w:sz w:val="24"/>
          <w:szCs w:val="24"/>
          <w:lang w:val="en-US" w:eastAsia="zh-CN"/>
        </w:rPr>
        <w:t>移交</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后5个工作日内将全部交易价款划转至转让方指定账户。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w:t>
      </w:r>
      <w:r>
        <w:rPr>
          <w:rFonts w:ascii="Arial" w:hAnsi="Arial" w:eastAsia="Arial" w:cs="Arial"/>
          <w:i w:val="0"/>
          <w:iCs w:val="0"/>
          <w:caps w:val="0"/>
          <w:color w:val="000000"/>
          <w:spacing w:val="0"/>
          <w:sz w:val="24"/>
          <w:szCs w:val="24"/>
          <w:shd w:val="clear" w:fill="FFFFFF"/>
        </w:rPr>
        <w:t>本次标的中的所有车辆依法拆解，作报废处理，应当遵守相应法律、法规及行业规范处理，拆解报废时间为30天内，从移交完成后算起，相关费用由买受人承担，如买受人未按规定进行车辆报废和注销或者非法使用的、处理期间发生意外事故的，造成的一切法律责任和经济赔偿全部由买受人承担。</w:t>
      </w:r>
      <w:r>
        <w:rPr>
          <w:rFonts w:hint="eastAsia" w:ascii="Arial" w:hAnsi="Arial" w:eastAsia="Arial" w:cs="Arial"/>
          <w:i w:val="0"/>
          <w:iCs w:val="0"/>
          <w:caps w:val="0"/>
          <w:color w:val="000000"/>
          <w:spacing w:val="0"/>
          <w:sz w:val="24"/>
          <w:szCs w:val="24"/>
          <w:shd w:val="clear" w:fill="FFFFFF"/>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ascii="Arial" w:hAnsi="Arial" w:eastAsia="Arial" w:cs="Arial"/>
          <w:i w:val="0"/>
          <w:iCs w:val="0"/>
          <w:caps w:val="0"/>
          <w:color w:val="000000"/>
          <w:spacing w:val="0"/>
          <w:sz w:val="24"/>
          <w:szCs w:val="24"/>
          <w:shd w:val="clear" w:fill="FFFFFF"/>
        </w:rPr>
        <w:t>对拖运搬移过程负全面责任，如发生一切人身及财产安全责任事故、法律责任均由买受人承担;移交过程中如造成其他任何人员伤亡或周边环境、设备、设施等财产损毁的，概由买受人承担全部责任与赔偿</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）竞买人须承诺，在公告期间已自行对标的资产进行了现场考察并全面了解，一经递交</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申请并交纳保证金后，即表明理解并接受本次资产</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车辆均按现场展示的状况及状态进行现状转让和交接，转让方对车辆所作出的说明及相关资料均是对标的所作的参考性说明，不作为转让方对车辆品质的任何担保，也不作为车辆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w:t>
      </w:r>
      <w:bookmarkStart w:id="0" w:name="_GoBack"/>
      <w:bookmarkEnd w:id="0"/>
      <w:r>
        <w:rPr>
          <w:rFonts w:hint="eastAsia" w:ascii="宋体" w:hAnsi="宋体" w:eastAsia="宋体" w:cs="宋体"/>
          <w:color w:val="auto"/>
          <w:spacing w:val="0"/>
          <w:sz w:val="24"/>
          <w:szCs w:val="24"/>
        </w:rPr>
        <w:t>见鲁昊(资评)字(2025)第DZ-01001号、鲁昊(资评)字(2025)第DZ-01002号《资产评估报告》。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，买受人应向本公司支付佣金，佣金为成交价的3%</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14</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right"/>
              <w:rPr>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开户银行</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开户帐号</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right"/>
              <w:rPr>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交款时间</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联系人</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签章</w:t>
            </w:r>
            <w:r>
              <w:rPr>
                <w:rFonts w:hint="eastAsia" w:ascii="仿宋" w:hAnsi="仿宋" w:eastAsia="仿宋" w:cs="仿宋"/>
                <w:color w:val="000000"/>
                <w:sz w:val="24"/>
                <w:lang w:eastAsia="zh-CN"/>
              </w:rPr>
              <w:t>）</w:t>
            </w:r>
            <w:r>
              <w:rPr>
                <w:rFonts w:hint="eastAsia" w:ascii="仿宋" w:hAnsi="仿宋" w:eastAsia="仿宋" w:cs="仿宋"/>
                <w:color w:val="000000"/>
                <w:sz w:val="24"/>
              </w:rPr>
              <w:t>、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right"/>
              <w:rPr>
                <w:rFonts w:ascii="仿宋" w:hAnsi="仿宋" w:eastAsia="仿宋" w:cs="仿宋"/>
                <w:color w:val="000000"/>
                <w:sz w:val="24"/>
                <w:szCs w:val="24"/>
              </w:rPr>
            </w:pPr>
          </w:p>
          <w:p>
            <w:pPr>
              <w:spacing w:line="240" w:lineRule="auto"/>
              <w:ind w:firstLine="0" w:firstLineChars="0"/>
              <w:jc w:val="right"/>
              <w:rPr>
                <w:rFonts w:ascii="仿宋" w:hAnsi="仿宋" w:eastAsia="仿宋" w:cs="仿宋"/>
                <w:color w:val="000000"/>
                <w:sz w:val="24"/>
                <w:szCs w:val="24"/>
              </w:rPr>
            </w:pPr>
            <w:r>
              <w:rPr>
                <w:rFonts w:hint="eastAsia" w:ascii="仿宋" w:hAnsi="仿宋" w:eastAsia="仿宋" w:cs="仿宋"/>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AA277E2"/>
    <w:rsid w:val="0C697DB0"/>
    <w:rsid w:val="1B285AE1"/>
    <w:rsid w:val="305840C7"/>
    <w:rsid w:val="40EB42EC"/>
    <w:rsid w:val="4872256F"/>
    <w:rsid w:val="52376143"/>
    <w:rsid w:val="56AA23A1"/>
    <w:rsid w:val="6B71426E"/>
    <w:rsid w:val="6FBB7E4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2682</Words>
  <Characters>2796</Characters>
  <Lines>0</Lines>
  <Paragraphs>0</Paragraphs>
  <TotalTime>0</TotalTime>
  <ScaleCrop>false</ScaleCrop>
  <LinksUpToDate>false</LinksUpToDate>
  <CharactersWithSpaces>2811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2025-02-13T06:43:24Z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